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6C6218" w14:textId="7844BFBC" w:rsidR="00875F75" w:rsidRDefault="000A2709">
      <w:pPr>
        <w:rPr>
          <w:lang w:val="en-US"/>
        </w:rPr>
      </w:pPr>
      <w:r>
        <w:rPr>
          <w:lang w:val="en-US"/>
        </w:rPr>
        <w:t xml:space="preserve">ACTIVITIES of EULAMBIA Ltd IN THE AREA OF QUANTUM SAFE NETWORKS. </w:t>
      </w:r>
    </w:p>
    <w:p w14:paraId="616B0690" w14:textId="42D1EAEC" w:rsidR="000A2709" w:rsidRDefault="000A2709" w:rsidP="000A2709">
      <w:pPr>
        <w:pStyle w:val="ListParagraph"/>
        <w:numPr>
          <w:ilvl w:val="0"/>
          <w:numId w:val="1"/>
        </w:numPr>
        <w:rPr>
          <w:lang w:val="en-US"/>
        </w:rPr>
      </w:pPr>
      <w:r>
        <w:rPr>
          <w:lang w:val="en-US"/>
        </w:rPr>
        <w:t>QKD networks migration with PQC</w:t>
      </w:r>
    </w:p>
    <w:p w14:paraId="2890B90A" w14:textId="14B7E3F5" w:rsidR="00E75B02" w:rsidRDefault="000A2709" w:rsidP="00F166A9">
      <w:pPr>
        <w:pStyle w:val="p1"/>
        <w:jc w:val="both"/>
        <w:rPr>
          <w:sz w:val="22"/>
          <w:szCs w:val="22"/>
        </w:rPr>
      </w:pPr>
      <w:r w:rsidRPr="00401996">
        <w:rPr>
          <w:sz w:val="22"/>
          <w:szCs w:val="22"/>
          <w:lang w:val="en-US"/>
        </w:rPr>
        <w:t xml:space="preserve">The last almost three years the company is working on a holistic solution integrating </w:t>
      </w:r>
      <w:proofErr w:type="gramStart"/>
      <w:r w:rsidRPr="00401996">
        <w:rPr>
          <w:sz w:val="22"/>
          <w:szCs w:val="22"/>
          <w:lang w:val="en-US"/>
        </w:rPr>
        <w:t>The</w:t>
      </w:r>
      <w:proofErr w:type="gramEnd"/>
      <w:r w:rsidRPr="00401996">
        <w:rPr>
          <w:sz w:val="22"/>
          <w:szCs w:val="22"/>
          <w:lang w:val="en-US"/>
        </w:rPr>
        <w:t xml:space="preserve"> last almost three years the company is working on a holistic QKD/PQC approach developing a multi domain and multi-site network architecture integrating vendor agnostic QKD combining with SDN orchestration and cloud managed trust services. The network is based on zero trust access protocols featuring multi-level authentication mechanisms based on PQC signature and key encapsulation algorithms. </w:t>
      </w:r>
      <w:r w:rsidR="00401996" w:rsidRPr="00401996">
        <w:rPr>
          <w:sz w:val="22"/>
          <w:szCs w:val="22"/>
          <w:lang w:val="en-US"/>
        </w:rPr>
        <w:t xml:space="preserve">The system has been deployed in the </w:t>
      </w:r>
      <w:proofErr w:type="spellStart"/>
      <w:r w:rsidR="00401996" w:rsidRPr="00401996">
        <w:rPr>
          <w:sz w:val="22"/>
          <w:szCs w:val="22"/>
          <w:lang w:val="en-US"/>
        </w:rPr>
        <w:t>HellasQCI</w:t>
      </w:r>
      <w:proofErr w:type="spellEnd"/>
      <w:r w:rsidR="00401996" w:rsidRPr="00401996">
        <w:rPr>
          <w:sz w:val="22"/>
          <w:szCs w:val="22"/>
          <w:lang w:val="en-US"/>
        </w:rPr>
        <w:t xml:space="preserve"> infrastructure on a </w:t>
      </w:r>
      <w:proofErr w:type="gramStart"/>
      <w:r w:rsidR="00401996" w:rsidRPr="00401996">
        <w:rPr>
          <w:sz w:val="22"/>
          <w:szCs w:val="22"/>
          <w:lang w:val="en-US"/>
        </w:rPr>
        <w:t>real world</w:t>
      </w:r>
      <w:proofErr w:type="gramEnd"/>
      <w:r w:rsidR="00401996" w:rsidRPr="00401996">
        <w:rPr>
          <w:sz w:val="22"/>
          <w:szCs w:val="22"/>
          <w:lang w:val="en-US"/>
        </w:rPr>
        <w:t xml:space="preserve"> testbed with network domains incorporating QKD nodes (IDQ, </w:t>
      </w:r>
      <w:proofErr w:type="spellStart"/>
      <w:r w:rsidR="00401996" w:rsidRPr="00401996">
        <w:rPr>
          <w:sz w:val="22"/>
          <w:szCs w:val="22"/>
          <w:lang w:val="en-US"/>
        </w:rPr>
        <w:t>Think</w:t>
      </w:r>
      <w:r w:rsidR="00F166A9">
        <w:rPr>
          <w:sz w:val="22"/>
          <w:szCs w:val="22"/>
          <w:lang w:val="en-US"/>
        </w:rPr>
        <w:t>Q</w:t>
      </w:r>
      <w:r w:rsidR="00401996" w:rsidRPr="00401996">
        <w:rPr>
          <w:sz w:val="22"/>
          <w:szCs w:val="22"/>
          <w:lang w:val="en-US"/>
        </w:rPr>
        <w:t>uantum</w:t>
      </w:r>
      <w:proofErr w:type="spellEnd"/>
      <w:r w:rsidR="00401996" w:rsidRPr="00401996">
        <w:rPr>
          <w:sz w:val="22"/>
          <w:szCs w:val="22"/>
          <w:lang w:val="en-US"/>
        </w:rPr>
        <w:t xml:space="preserve"> and Toshiba) but also remote domains without QKD infrastructure. The network includes in house developed software encryptors </w:t>
      </w:r>
      <w:r w:rsidR="00401996" w:rsidRPr="00401996">
        <w:rPr>
          <w:sz w:val="22"/>
          <w:szCs w:val="22"/>
        </w:rPr>
        <w:t>that are cross-platform, crypto-agile packet encryptors designed to deliver high-assurance tunneling services between network domains.</w:t>
      </w:r>
      <w:r w:rsidR="00401996">
        <w:rPr>
          <w:sz w:val="22"/>
          <w:szCs w:val="22"/>
        </w:rPr>
        <w:t xml:space="preserve"> </w:t>
      </w:r>
    </w:p>
    <w:p w14:paraId="478E22FA" w14:textId="77777777" w:rsidR="00E75B02" w:rsidRDefault="00E75B02" w:rsidP="00E75B02">
      <w:pPr>
        <w:pStyle w:val="p1"/>
        <w:rPr>
          <w:sz w:val="22"/>
          <w:szCs w:val="22"/>
        </w:rPr>
      </w:pPr>
    </w:p>
    <w:p w14:paraId="4DF9EFEA" w14:textId="3F26721E" w:rsidR="00E75B02" w:rsidRDefault="00401996" w:rsidP="00F166A9">
      <w:pPr>
        <w:pStyle w:val="p1"/>
        <w:jc w:val="both"/>
        <w:rPr>
          <w:sz w:val="22"/>
          <w:szCs w:val="22"/>
        </w:rPr>
      </w:pPr>
      <w:r w:rsidRPr="00401996">
        <w:rPr>
          <w:sz w:val="22"/>
          <w:szCs w:val="22"/>
        </w:rPr>
        <w:t>The software services</w:t>
      </w:r>
      <w:r w:rsidR="00E75B02">
        <w:rPr>
          <w:sz w:val="22"/>
          <w:szCs w:val="22"/>
        </w:rPr>
        <w:t xml:space="preserve"> </w:t>
      </w:r>
      <w:r w:rsidRPr="00401996">
        <w:rPr>
          <w:sz w:val="22"/>
          <w:szCs w:val="22"/>
        </w:rPr>
        <w:t>support multi-domain interoperability and are engineered to operate within hetero-geneous cryptographic environments, providing multi-layer encryption, identification</w:t>
      </w:r>
      <w:r w:rsidR="00F166A9">
        <w:rPr>
          <w:sz w:val="22"/>
          <w:szCs w:val="22"/>
        </w:rPr>
        <w:t xml:space="preserve"> </w:t>
      </w:r>
      <w:r w:rsidRPr="00401996">
        <w:rPr>
          <w:sz w:val="22"/>
          <w:szCs w:val="22"/>
        </w:rPr>
        <w:t>through PQC key pairs and multi-vendor QKD support. Configuration is performedthrough a PQC-KEM-secured network management interface, which communicates</w:t>
      </w:r>
      <w:r w:rsidR="00F166A9">
        <w:rPr>
          <w:sz w:val="22"/>
          <w:szCs w:val="22"/>
        </w:rPr>
        <w:t xml:space="preserve"> </w:t>
      </w:r>
      <w:r w:rsidRPr="00401996">
        <w:rPr>
          <w:sz w:val="22"/>
          <w:szCs w:val="22"/>
        </w:rPr>
        <w:t>directly with the cloud key management system (KMS).</w:t>
      </w:r>
      <w:r w:rsidR="00E75B02">
        <w:rPr>
          <w:sz w:val="22"/>
          <w:szCs w:val="22"/>
        </w:rPr>
        <w:t xml:space="preserve"> </w:t>
      </w:r>
    </w:p>
    <w:p w14:paraId="703F2438" w14:textId="77777777" w:rsidR="00E75B02" w:rsidRDefault="00E75B02" w:rsidP="00E75B02">
      <w:pPr>
        <w:pStyle w:val="p1"/>
        <w:rPr>
          <w:sz w:val="22"/>
          <w:szCs w:val="22"/>
        </w:rPr>
      </w:pPr>
    </w:p>
    <w:p w14:paraId="20A8C084" w14:textId="4FB42B9C" w:rsidR="00E75B02" w:rsidRPr="00E75B02" w:rsidRDefault="00E75B02" w:rsidP="00F166A9">
      <w:pPr>
        <w:pStyle w:val="p1"/>
        <w:rPr>
          <w:sz w:val="22"/>
          <w:szCs w:val="22"/>
        </w:rPr>
      </w:pPr>
      <w:r w:rsidRPr="00E75B02">
        <w:rPr>
          <w:sz w:val="22"/>
          <w:szCs w:val="22"/>
        </w:rPr>
        <w:t>The administrative plane supervises the configuration and coordination of system</w:t>
      </w:r>
    </w:p>
    <w:p w14:paraId="04EE3B5C" w14:textId="77777777" w:rsidR="00E75B02" w:rsidRPr="00E75B02" w:rsidRDefault="00E75B02" w:rsidP="00F166A9">
      <w:pPr>
        <w:pStyle w:val="p1"/>
        <w:jc w:val="both"/>
        <w:rPr>
          <w:sz w:val="22"/>
          <w:szCs w:val="22"/>
        </w:rPr>
      </w:pPr>
      <w:r w:rsidRPr="00E75B02">
        <w:rPr>
          <w:sz w:val="22"/>
          <w:szCs w:val="22"/>
        </w:rPr>
        <w:t>components, without directly participating in their operation. It defines and enforces</w:t>
      </w:r>
    </w:p>
    <w:p w14:paraId="4267DCC3" w14:textId="77777777" w:rsidR="00E75B02" w:rsidRPr="00E75B02" w:rsidRDefault="00E75B02" w:rsidP="00E75B02">
      <w:pPr>
        <w:pStyle w:val="p1"/>
        <w:rPr>
          <w:sz w:val="22"/>
          <w:szCs w:val="22"/>
        </w:rPr>
      </w:pPr>
      <w:r w:rsidRPr="00E75B02">
        <w:rPr>
          <w:sz w:val="22"/>
          <w:szCs w:val="22"/>
        </w:rPr>
        <w:t>system-wide policies, manages client permissions and possible actions, and regulates</w:t>
      </w:r>
    </w:p>
    <w:p w14:paraId="258D025A" w14:textId="77777777" w:rsidR="00E75B02" w:rsidRPr="00E75B02" w:rsidRDefault="00E75B02" w:rsidP="00E75B02">
      <w:pPr>
        <w:pStyle w:val="p1"/>
        <w:rPr>
          <w:sz w:val="22"/>
          <w:szCs w:val="22"/>
        </w:rPr>
      </w:pPr>
      <w:r w:rsidRPr="00E75B02">
        <w:rPr>
          <w:sz w:val="22"/>
          <w:szCs w:val="22"/>
        </w:rPr>
        <w:t>the sources of authorization material, including certificates, public key pairs, and</w:t>
      </w:r>
    </w:p>
    <w:p w14:paraId="5952484A" w14:textId="77777777" w:rsidR="00E75B02" w:rsidRDefault="00E75B02" w:rsidP="00E75B02">
      <w:pPr>
        <w:pStyle w:val="p1"/>
        <w:rPr>
          <w:sz w:val="22"/>
          <w:szCs w:val="22"/>
        </w:rPr>
      </w:pPr>
      <w:r w:rsidRPr="00E75B02">
        <w:rPr>
          <w:sz w:val="22"/>
          <w:szCs w:val="22"/>
        </w:rPr>
        <w:t>tokens,accordingtouserprofiles.</w:t>
      </w:r>
      <w:r>
        <w:rPr>
          <w:sz w:val="22"/>
          <w:szCs w:val="22"/>
        </w:rPr>
        <w:t xml:space="preserve"> </w:t>
      </w:r>
    </w:p>
    <w:p w14:paraId="1DB54F69" w14:textId="77777777" w:rsidR="00E75B02" w:rsidRDefault="00E75B02" w:rsidP="00E75B02">
      <w:pPr>
        <w:pStyle w:val="p1"/>
        <w:rPr>
          <w:sz w:val="22"/>
          <w:szCs w:val="22"/>
        </w:rPr>
      </w:pPr>
    </w:p>
    <w:p w14:paraId="4BF67E86" w14:textId="11718EDE" w:rsidR="00401996" w:rsidRDefault="00E75B02" w:rsidP="00F166A9">
      <w:pPr>
        <w:pStyle w:val="p1"/>
        <w:jc w:val="both"/>
        <w:rPr>
          <w:sz w:val="22"/>
          <w:szCs w:val="22"/>
        </w:rPr>
      </w:pPr>
      <w:r w:rsidRPr="00E75B02">
        <w:rPr>
          <w:sz w:val="22"/>
          <w:szCs w:val="22"/>
        </w:rPr>
        <w:t>Authentication is achieved with a strict scheme that involves certificates, PQC KEM</w:t>
      </w:r>
      <w:r w:rsidR="00F166A9">
        <w:rPr>
          <w:sz w:val="22"/>
          <w:szCs w:val="22"/>
        </w:rPr>
        <w:t xml:space="preserve"> </w:t>
      </w:r>
      <w:r w:rsidRPr="00E75B02">
        <w:rPr>
          <w:sz w:val="22"/>
          <w:szCs w:val="22"/>
        </w:rPr>
        <w:t>key pairs (asymmetric) and policy alignment (e.g domain specific user access, RBAC,etc.). Client permissions and possible actions are explicitly defined and authorizationmaterial (certificates, public key pairs, tokens) sources are restrained according touser profile. The proposed authentication framework is based on a multi-level publickey infrastructure (PKI) managed from the cloud, that employs separate roots for</w:t>
      </w:r>
      <w:r w:rsidR="00F166A9">
        <w:rPr>
          <w:sz w:val="22"/>
          <w:szCs w:val="22"/>
        </w:rPr>
        <w:t xml:space="preserve"> </w:t>
      </w:r>
      <w:r w:rsidRPr="00E75B02">
        <w:rPr>
          <w:sz w:val="22"/>
          <w:szCs w:val="22"/>
        </w:rPr>
        <w:t>QKD nodes of different vendors and another root for the rest of the testbed.</w:t>
      </w:r>
    </w:p>
    <w:p w14:paraId="37BE7D70" w14:textId="77777777" w:rsidR="00E75B02" w:rsidRDefault="00E75B02" w:rsidP="00E75B02">
      <w:pPr>
        <w:pStyle w:val="p1"/>
        <w:rPr>
          <w:sz w:val="22"/>
          <w:szCs w:val="22"/>
        </w:rPr>
      </w:pPr>
    </w:p>
    <w:p w14:paraId="039C394C" w14:textId="77777777" w:rsidR="00E75B02" w:rsidRPr="00401996" w:rsidRDefault="00E75B02" w:rsidP="00E75B02">
      <w:pPr>
        <w:pStyle w:val="p1"/>
        <w:rPr>
          <w:sz w:val="22"/>
          <w:szCs w:val="22"/>
        </w:rPr>
      </w:pPr>
    </w:p>
    <w:p w14:paraId="7725BDB3" w14:textId="77777777" w:rsidR="00E75B02" w:rsidRPr="00E75B02" w:rsidRDefault="00E75B02" w:rsidP="00E75B02">
      <w:pPr>
        <w:pStyle w:val="p1"/>
        <w:rPr>
          <w:sz w:val="22"/>
          <w:szCs w:val="22"/>
        </w:rPr>
      </w:pPr>
      <w:r w:rsidRPr="00E75B02">
        <w:rPr>
          <w:sz w:val="22"/>
          <w:szCs w:val="22"/>
        </w:rPr>
        <w:t>The key management module orchestrates domain deployment and, as such, deter-</w:t>
      </w:r>
    </w:p>
    <w:p w14:paraId="7DEB72EF" w14:textId="77777777" w:rsidR="00E75B02" w:rsidRPr="00E75B02" w:rsidRDefault="00E75B02" w:rsidP="00E75B02">
      <w:pPr>
        <w:pStyle w:val="p1"/>
        <w:rPr>
          <w:sz w:val="22"/>
          <w:szCs w:val="22"/>
        </w:rPr>
      </w:pPr>
      <w:r w:rsidRPr="00E75B02">
        <w:rPr>
          <w:sz w:val="22"/>
          <w:szCs w:val="22"/>
        </w:rPr>
        <w:t>mines the behaviour of the final system with respect to trust and the cryptographic</w:t>
      </w:r>
    </w:p>
    <w:p w14:paraId="4CA54537" w14:textId="77777777" w:rsidR="00E75B02" w:rsidRPr="00E75B02" w:rsidRDefault="00E75B02" w:rsidP="00F166A9">
      <w:pPr>
        <w:pStyle w:val="p1"/>
        <w:jc w:val="both"/>
        <w:rPr>
          <w:sz w:val="22"/>
          <w:szCs w:val="22"/>
        </w:rPr>
      </w:pPr>
      <w:r w:rsidRPr="00E75B02">
        <w:rPr>
          <w:sz w:val="22"/>
          <w:szCs w:val="22"/>
        </w:rPr>
        <w:t>material’s lifecycle. In more detail, it coordinates the distribution of domains built</w:t>
      </w:r>
    </w:p>
    <w:p w14:paraId="7B5D3BB3" w14:textId="77777777" w:rsidR="00E75B02" w:rsidRPr="00E75B02" w:rsidRDefault="00E75B02" w:rsidP="00E75B02">
      <w:pPr>
        <w:pStyle w:val="p1"/>
        <w:rPr>
          <w:sz w:val="22"/>
          <w:szCs w:val="22"/>
        </w:rPr>
      </w:pPr>
      <w:r w:rsidRPr="00E75B02">
        <w:rPr>
          <w:sz w:val="22"/>
          <w:szCs w:val="22"/>
        </w:rPr>
        <w:t>beforehand and ensures that they are provisioned with certificates and key pairs suffi-</w:t>
      </w:r>
    </w:p>
    <w:p w14:paraId="3AD1C4D9" w14:textId="42C8315F" w:rsidR="000A2709" w:rsidRDefault="00E75B02" w:rsidP="00E75B02">
      <w:pPr>
        <w:pStyle w:val="p1"/>
        <w:rPr>
          <w:sz w:val="22"/>
          <w:szCs w:val="22"/>
        </w:rPr>
      </w:pPr>
      <w:r w:rsidRPr="00E75B02">
        <w:rPr>
          <w:sz w:val="22"/>
          <w:szCs w:val="22"/>
        </w:rPr>
        <w:t>cient to initiate trusted connections.</w:t>
      </w:r>
    </w:p>
    <w:p w14:paraId="12EAE9C5" w14:textId="77777777" w:rsidR="00E75B02" w:rsidRDefault="00E75B02" w:rsidP="00E75B02">
      <w:pPr>
        <w:pStyle w:val="p1"/>
        <w:rPr>
          <w:sz w:val="22"/>
          <w:szCs w:val="22"/>
        </w:rPr>
      </w:pPr>
    </w:p>
    <w:p w14:paraId="5D1A8020" w14:textId="340E09C8" w:rsidR="00E75B02" w:rsidRDefault="00E75B02" w:rsidP="00E75B02">
      <w:pPr>
        <w:pStyle w:val="p1"/>
        <w:rPr>
          <w:sz w:val="22"/>
          <w:szCs w:val="22"/>
        </w:rPr>
      </w:pPr>
      <w:r>
        <w:rPr>
          <w:sz w:val="22"/>
          <w:szCs w:val="22"/>
        </w:rPr>
        <w:t xml:space="preserve">The system has been exhustively tested on a testbed of 10 QKD nodes from the three vendors along with two domains without QKD equipment. Different performance figures have been measured such as connection latencies, cloud response time, inter and intra-domain transaction time, </w:t>
      </w:r>
      <w:r w:rsidR="00454A83">
        <w:rPr>
          <w:sz w:val="22"/>
          <w:szCs w:val="22"/>
        </w:rPr>
        <w:t xml:space="preserve">key acquisition times over 5-day continous usage, drift in key aquistion time over a day and KEM processing time, etc. </w:t>
      </w:r>
    </w:p>
    <w:p w14:paraId="458A4B92" w14:textId="77777777" w:rsidR="00454A83" w:rsidRDefault="00454A83" w:rsidP="00E75B02">
      <w:pPr>
        <w:pStyle w:val="p1"/>
        <w:rPr>
          <w:sz w:val="22"/>
          <w:szCs w:val="22"/>
        </w:rPr>
      </w:pPr>
    </w:p>
    <w:p w14:paraId="45C0C565" w14:textId="0AD903A5" w:rsidR="00454A83" w:rsidRDefault="00454A83" w:rsidP="00E75B02">
      <w:pPr>
        <w:pStyle w:val="p1"/>
        <w:rPr>
          <w:sz w:val="22"/>
          <w:szCs w:val="22"/>
        </w:rPr>
      </w:pPr>
      <w:r>
        <w:rPr>
          <w:sz w:val="22"/>
          <w:szCs w:val="22"/>
        </w:rPr>
        <w:t>More detail can be foud in the attached paper, accepted with minor revision to EPJ Quantum technologies.</w:t>
      </w:r>
    </w:p>
    <w:p w14:paraId="00E4F2DF" w14:textId="77777777" w:rsidR="00454A83" w:rsidRDefault="00454A83" w:rsidP="00E75B02">
      <w:pPr>
        <w:pStyle w:val="p1"/>
        <w:rPr>
          <w:sz w:val="22"/>
          <w:szCs w:val="22"/>
        </w:rPr>
      </w:pPr>
    </w:p>
    <w:p w14:paraId="1BC07516" w14:textId="56804578" w:rsidR="00454A83" w:rsidRDefault="00454A83" w:rsidP="00E75B02">
      <w:pPr>
        <w:pStyle w:val="p1"/>
        <w:rPr>
          <w:sz w:val="22"/>
          <w:szCs w:val="22"/>
        </w:rPr>
      </w:pPr>
      <w:r>
        <w:rPr>
          <w:sz w:val="22"/>
          <w:szCs w:val="22"/>
        </w:rPr>
        <w:lastRenderedPageBreak/>
        <w:t>The network is fully operational at TRL 7 and it is selected as on of the end products of the the EU project ALLEGRO (34 partners. 12 MEUR budget)</w:t>
      </w:r>
    </w:p>
    <w:p w14:paraId="214E253B" w14:textId="77777777" w:rsidR="00454A83" w:rsidRDefault="00454A83" w:rsidP="00E75B02">
      <w:pPr>
        <w:pStyle w:val="p1"/>
        <w:rPr>
          <w:sz w:val="22"/>
          <w:szCs w:val="22"/>
        </w:rPr>
      </w:pPr>
    </w:p>
    <w:p w14:paraId="1B0A9EB4" w14:textId="4C82A2BB" w:rsidR="00454A83" w:rsidRDefault="00454A83" w:rsidP="00E75B02">
      <w:pPr>
        <w:pStyle w:val="p1"/>
        <w:rPr>
          <w:sz w:val="22"/>
          <w:szCs w:val="22"/>
        </w:rPr>
      </w:pPr>
      <w:r>
        <w:rPr>
          <w:sz w:val="22"/>
          <w:szCs w:val="22"/>
        </w:rPr>
        <w:t>Under development is the inclusion of an exteded IoT network combined with the af</w:t>
      </w:r>
      <w:r w:rsidR="00F166A9">
        <w:rPr>
          <w:sz w:val="22"/>
          <w:szCs w:val="22"/>
        </w:rPr>
        <w:t>o</w:t>
      </w:r>
      <w:r>
        <w:rPr>
          <w:sz w:val="22"/>
          <w:szCs w:val="22"/>
        </w:rPr>
        <w:t>rem</w:t>
      </w:r>
      <w:r w:rsidR="00F166A9">
        <w:rPr>
          <w:sz w:val="22"/>
          <w:szCs w:val="22"/>
        </w:rPr>
        <w:t>e</w:t>
      </w:r>
      <w:r>
        <w:rPr>
          <w:sz w:val="22"/>
          <w:szCs w:val="22"/>
        </w:rPr>
        <w:t>ntioned system</w:t>
      </w:r>
      <w:r w:rsidR="00F166A9">
        <w:rPr>
          <w:sz w:val="22"/>
          <w:szCs w:val="22"/>
        </w:rPr>
        <w:t>.</w:t>
      </w:r>
      <w:r>
        <w:rPr>
          <w:sz w:val="22"/>
          <w:szCs w:val="22"/>
        </w:rPr>
        <w:t xml:space="preserve"> It will include a few hundreds of IoT device</w:t>
      </w:r>
      <w:r w:rsidR="00F166A9">
        <w:rPr>
          <w:sz w:val="22"/>
          <w:szCs w:val="22"/>
        </w:rPr>
        <w:t>s</w:t>
      </w:r>
      <w:r>
        <w:rPr>
          <w:sz w:val="22"/>
          <w:szCs w:val="22"/>
        </w:rPr>
        <w:t xml:space="preserve"> using a variety of wireless and wired protocols. The idea here is to use the QKD keys as seed for the different TRNGs needed for the noumerous keys required for the secure layer of he network.</w:t>
      </w:r>
    </w:p>
    <w:p w14:paraId="55FE3542" w14:textId="77777777" w:rsidR="00454A83" w:rsidRDefault="00454A83" w:rsidP="00E75B02">
      <w:pPr>
        <w:pStyle w:val="p1"/>
        <w:rPr>
          <w:sz w:val="22"/>
          <w:szCs w:val="22"/>
        </w:rPr>
      </w:pPr>
    </w:p>
    <w:p w14:paraId="0EBCC609" w14:textId="4471CA8F" w:rsidR="00454A83" w:rsidRDefault="00454A83" w:rsidP="00E75B02">
      <w:pPr>
        <w:pStyle w:val="p1"/>
        <w:rPr>
          <w:sz w:val="22"/>
          <w:szCs w:val="22"/>
        </w:rPr>
      </w:pPr>
      <w:r>
        <w:rPr>
          <w:sz w:val="22"/>
          <w:szCs w:val="22"/>
        </w:rPr>
        <w:t>INCLUSION OF PHYSICAL UNCLONABLE FUNCTIONS (PUF)</w:t>
      </w:r>
    </w:p>
    <w:p w14:paraId="6CD89EEC" w14:textId="77777777" w:rsidR="00F166A9" w:rsidRDefault="00F166A9" w:rsidP="00E75B02">
      <w:pPr>
        <w:pStyle w:val="p1"/>
        <w:rPr>
          <w:sz w:val="22"/>
          <w:szCs w:val="22"/>
        </w:rPr>
      </w:pPr>
    </w:p>
    <w:p w14:paraId="68C5E1AE" w14:textId="77777777" w:rsidR="00F166A9" w:rsidRDefault="00F166A9" w:rsidP="00F166A9">
      <w:pPr>
        <w:pStyle w:val="p1"/>
        <w:jc w:val="both"/>
        <w:rPr>
          <w:sz w:val="22"/>
          <w:szCs w:val="22"/>
        </w:rPr>
      </w:pPr>
      <w:r w:rsidRPr="00F166A9">
        <w:rPr>
          <w:sz w:val="22"/>
          <w:szCs w:val="22"/>
        </w:rPr>
        <w:t xml:space="preserve">We have recently submitted a paper to an ACM conference (attached in this mail). It includes PUF devices in the QKD/PQC network. Concerning PUFs (Physical Unclonable Functions) EULAMBIA hold three international patents for strong (many tens of thousends of challenge-responses)  </w:t>
      </w:r>
      <w:r>
        <w:rPr>
          <w:sz w:val="22"/>
          <w:szCs w:val="22"/>
        </w:rPr>
        <w:t>P</w:t>
      </w:r>
      <w:r w:rsidRPr="00F166A9">
        <w:rPr>
          <w:sz w:val="22"/>
          <w:szCs w:val="22"/>
        </w:rPr>
        <w:t xml:space="preserve">hotonic PUFs and recently we published in Nature Scientific reports </w:t>
      </w:r>
      <w:r>
        <w:rPr>
          <w:sz w:val="22"/>
          <w:szCs w:val="22"/>
        </w:rPr>
        <w:t xml:space="preserve">PAPER SHOWING </w:t>
      </w:r>
      <w:r w:rsidRPr="00F166A9">
        <w:rPr>
          <w:sz w:val="22"/>
          <w:szCs w:val="22"/>
        </w:rPr>
        <w:t xml:space="preserve">that our PUFs are immune to Machine learning attacks. Our PUF hardware is at TRL 6 already and we continue developing it. As you can see in the attached paper PUFs are a very good supplement to QKD/PQC network. </w:t>
      </w:r>
    </w:p>
    <w:p w14:paraId="7E02EB08" w14:textId="77777777" w:rsidR="00F166A9" w:rsidRDefault="00F166A9" w:rsidP="00E75B02">
      <w:pPr>
        <w:pStyle w:val="p1"/>
        <w:rPr>
          <w:sz w:val="22"/>
          <w:szCs w:val="22"/>
        </w:rPr>
      </w:pPr>
    </w:p>
    <w:p w14:paraId="6BC3DCF5" w14:textId="76223D0C" w:rsidR="00F166A9" w:rsidRDefault="00F166A9" w:rsidP="00E75B02">
      <w:pPr>
        <w:pStyle w:val="p1"/>
        <w:rPr>
          <w:sz w:val="22"/>
          <w:szCs w:val="22"/>
        </w:rPr>
      </w:pPr>
      <w:r w:rsidRPr="00F166A9">
        <w:rPr>
          <w:sz w:val="22"/>
          <w:szCs w:val="22"/>
        </w:rPr>
        <w:t xml:space="preserve">Concluding, we </w:t>
      </w:r>
      <w:r>
        <w:rPr>
          <w:sz w:val="22"/>
          <w:szCs w:val="22"/>
        </w:rPr>
        <w:t xml:space="preserve">believe that we </w:t>
      </w:r>
      <w:r w:rsidRPr="00F166A9">
        <w:rPr>
          <w:sz w:val="22"/>
          <w:szCs w:val="22"/>
        </w:rPr>
        <w:t>can have a pivotal role in the networking section of the project.</w:t>
      </w:r>
      <w:r>
        <w:rPr>
          <w:sz w:val="22"/>
          <w:szCs w:val="22"/>
        </w:rPr>
        <w:t xml:space="preserve"> If any additional info is needed we are ready to provide it.</w:t>
      </w:r>
    </w:p>
    <w:p w14:paraId="292BEFB9" w14:textId="77777777" w:rsidR="00F166A9" w:rsidRDefault="00F166A9" w:rsidP="00E75B02">
      <w:pPr>
        <w:pStyle w:val="p1"/>
        <w:rPr>
          <w:sz w:val="22"/>
          <w:szCs w:val="22"/>
        </w:rPr>
      </w:pPr>
    </w:p>
    <w:p w14:paraId="118FD78B" w14:textId="02FDFB72" w:rsidR="00F166A9" w:rsidRDefault="00F166A9" w:rsidP="00E75B02">
      <w:pPr>
        <w:pStyle w:val="p1"/>
        <w:rPr>
          <w:sz w:val="22"/>
          <w:szCs w:val="22"/>
        </w:rPr>
      </w:pPr>
      <w:r>
        <w:rPr>
          <w:sz w:val="22"/>
          <w:szCs w:val="22"/>
        </w:rPr>
        <w:tab/>
      </w:r>
      <w:r>
        <w:rPr>
          <w:sz w:val="22"/>
          <w:szCs w:val="22"/>
        </w:rPr>
        <w:tab/>
      </w:r>
      <w:r>
        <w:rPr>
          <w:sz w:val="22"/>
          <w:szCs w:val="22"/>
        </w:rPr>
        <w:tab/>
      </w:r>
      <w:r>
        <w:rPr>
          <w:sz w:val="22"/>
          <w:szCs w:val="22"/>
        </w:rPr>
        <w:tab/>
      </w:r>
    </w:p>
    <w:p w14:paraId="007B223E" w14:textId="64634273" w:rsidR="00F166A9" w:rsidRDefault="00F166A9" w:rsidP="00E75B02">
      <w:pPr>
        <w:pStyle w:val="p1"/>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Dimitis Syvridis</w:t>
      </w:r>
    </w:p>
    <w:p w14:paraId="46C17093" w14:textId="2E557E25" w:rsidR="00F166A9" w:rsidRDefault="00F166A9" w:rsidP="00E75B02">
      <w:pPr>
        <w:pStyle w:val="p1"/>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Proffessor</w:t>
      </w:r>
    </w:p>
    <w:p w14:paraId="2C466DB4" w14:textId="76BDEA45" w:rsidR="00F166A9" w:rsidRDefault="00F166A9" w:rsidP="00E75B02">
      <w:pPr>
        <w:pStyle w:val="p1"/>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CTO Eulambia Ltd.</w:t>
      </w:r>
    </w:p>
    <w:p w14:paraId="6DFA2A9A" w14:textId="01E4E1C2" w:rsidR="00F166A9" w:rsidRDefault="00F166A9" w:rsidP="00E75B02">
      <w:pPr>
        <w:pStyle w:val="p1"/>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02901AC4" w14:textId="179B4A11" w:rsidR="00F166A9" w:rsidRPr="00E75B02" w:rsidRDefault="00F166A9" w:rsidP="00E75B02">
      <w:pPr>
        <w:pStyle w:val="p1"/>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F166A9" w:rsidRPr="00E75B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A66CBF"/>
    <w:multiLevelType w:val="hybridMultilevel"/>
    <w:tmpl w:val="6310F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5062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709"/>
    <w:rsid w:val="000A2709"/>
    <w:rsid w:val="000B4EBE"/>
    <w:rsid w:val="00197C8E"/>
    <w:rsid w:val="00401996"/>
    <w:rsid w:val="00454A83"/>
    <w:rsid w:val="00875F75"/>
    <w:rsid w:val="008C0A8F"/>
    <w:rsid w:val="00B52815"/>
    <w:rsid w:val="00E75B02"/>
    <w:rsid w:val="00F166A9"/>
    <w:rsid w:val="00FE4D03"/>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decimalSymbol w:val=","/>
  <w:listSeparator w:val=","/>
  <w14:docId w14:val="73B93598"/>
  <w15:chartTrackingRefBased/>
  <w15:docId w15:val="{C9EB227A-A0EE-2A4B-8E0F-6D7FB2C34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27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27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27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27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27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27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27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27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27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7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27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27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27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27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27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7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7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709"/>
    <w:rPr>
      <w:rFonts w:eastAsiaTheme="majorEastAsia" w:cstheme="majorBidi"/>
      <w:color w:val="272727" w:themeColor="text1" w:themeTint="D8"/>
    </w:rPr>
  </w:style>
  <w:style w:type="paragraph" w:styleId="Title">
    <w:name w:val="Title"/>
    <w:basedOn w:val="Normal"/>
    <w:next w:val="Normal"/>
    <w:link w:val="TitleChar"/>
    <w:uiPriority w:val="10"/>
    <w:qFormat/>
    <w:rsid w:val="000A27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27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27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27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2709"/>
    <w:pPr>
      <w:spacing w:before="160"/>
      <w:jc w:val="center"/>
    </w:pPr>
    <w:rPr>
      <w:i/>
      <w:iCs/>
      <w:color w:val="404040" w:themeColor="text1" w:themeTint="BF"/>
    </w:rPr>
  </w:style>
  <w:style w:type="character" w:customStyle="1" w:styleId="QuoteChar">
    <w:name w:val="Quote Char"/>
    <w:basedOn w:val="DefaultParagraphFont"/>
    <w:link w:val="Quote"/>
    <w:uiPriority w:val="29"/>
    <w:rsid w:val="000A2709"/>
    <w:rPr>
      <w:i/>
      <w:iCs/>
      <w:color w:val="404040" w:themeColor="text1" w:themeTint="BF"/>
    </w:rPr>
  </w:style>
  <w:style w:type="paragraph" w:styleId="ListParagraph">
    <w:name w:val="List Paragraph"/>
    <w:basedOn w:val="Normal"/>
    <w:uiPriority w:val="34"/>
    <w:qFormat/>
    <w:rsid w:val="000A2709"/>
    <w:pPr>
      <w:ind w:left="720"/>
      <w:contextualSpacing/>
    </w:pPr>
  </w:style>
  <w:style w:type="character" w:styleId="IntenseEmphasis">
    <w:name w:val="Intense Emphasis"/>
    <w:basedOn w:val="DefaultParagraphFont"/>
    <w:uiPriority w:val="21"/>
    <w:qFormat/>
    <w:rsid w:val="000A2709"/>
    <w:rPr>
      <w:i/>
      <w:iCs/>
      <w:color w:val="0F4761" w:themeColor="accent1" w:themeShade="BF"/>
    </w:rPr>
  </w:style>
  <w:style w:type="paragraph" w:styleId="IntenseQuote">
    <w:name w:val="Intense Quote"/>
    <w:basedOn w:val="Normal"/>
    <w:next w:val="Normal"/>
    <w:link w:val="IntenseQuoteChar"/>
    <w:uiPriority w:val="30"/>
    <w:qFormat/>
    <w:rsid w:val="000A27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2709"/>
    <w:rPr>
      <w:i/>
      <w:iCs/>
      <w:color w:val="0F4761" w:themeColor="accent1" w:themeShade="BF"/>
    </w:rPr>
  </w:style>
  <w:style w:type="character" w:styleId="IntenseReference">
    <w:name w:val="Intense Reference"/>
    <w:basedOn w:val="DefaultParagraphFont"/>
    <w:uiPriority w:val="32"/>
    <w:qFormat/>
    <w:rsid w:val="000A2709"/>
    <w:rPr>
      <w:b/>
      <w:bCs/>
      <w:smallCaps/>
      <w:color w:val="0F4761" w:themeColor="accent1" w:themeShade="BF"/>
      <w:spacing w:val="5"/>
    </w:rPr>
  </w:style>
  <w:style w:type="paragraph" w:customStyle="1" w:styleId="p1">
    <w:name w:val="p1"/>
    <w:basedOn w:val="Normal"/>
    <w:rsid w:val="00401996"/>
    <w:pPr>
      <w:spacing w:after="0" w:line="240" w:lineRule="auto"/>
    </w:pPr>
    <w:rPr>
      <w:rFonts w:ascii="Helvetica" w:eastAsia="Times New Roman" w:hAnsi="Helvetica" w:cs="Times New Roman"/>
      <w:color w:val="000000"/>
      <w:kern w:val="0"/>
      <w:sz w:val="15"/>
      <w:szCs w:val="15"/>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Dimitris.Syvridis</dc:creator>
  <cp:keywords/>
  <dc:description/>
  <cp:lastModifiedBy>Dimitris.Syvridis</cp:lastModifiedBy>
  <cp:revision>1</cp:revision>
  <dcterms:created xsi:type="dcterms:W3CDTF">2026-09-15T14:30:00Z</dcterms:created>
  <dcterms:modified xsi:type="dcterms:W3CDTF">2026-09-15T15:20:00Z</dcterms:modified>
</cp:coreProperties>
</file>