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37"/>
        <w:gridCol w:w="6579"/>
      </w:tblGrid>
      <w:tr w:rsidR="00655479" w:rsidRPr="00655479" w14:paraId="679F7F9F" w14:textId="77777777" w:rsidTr="00655479">
        <w:tc>
          <w:tcPr>
            <w:tcW w:w="0" w:type="auto"/>
            <w:hideMark/>
          </w:tcPr>
          <w:p w14:paraId="41E11037" w14:textId="77777777" w:rsidR="00655479" w:rsidRPr="00655479" w:rsidRDefault="00655479" w:rsidP="00655479">
            <w:pPr>
              <w:spacing w:after="160" w:line="259" w:lineRule="auto"/>
              <w:rPr>
                <w:b/>
                <w:bCs/>
                <w:lang w:val="en-IE"/>
              </w:rPr>
            </w:pPr>
            <w:r w:rsidRPr="00655479">
              <w:rPr>
                <w:b/>
                <w:bCs/>
                <w:lang w:val="en-IE"/>
              </w:rPr>
              <w:t>DMP component</w:t>
            </w:r>
          </w:p>
        </w:tc>
        <w:tc>
          <w:tcPr>
            <w:tcW w:w="0" w:type="auto"/>
            <w:hideMark/>
          </w:tcPr>
          <w:p w14:paraId="7237F42E" w14:textId="77777777" w:rsidR="00655479" w:rsidRPr="00655479" w:rsidRDefault="00655479" w:rsidP="00655479">
            <w:pPr>
              <w:spacing w:after="160" w:line="259" w:lineRule="auto"/>
              <w:rPr>
                <w:b/>
                <w:bCs/>
                <w:lang w:val="en-IE"/>
              </w:rPr>
            </w:pPr>
            <w:r w:rsidRPr="00655479">
              <w:rPr>
                <w:b/>
                <w:bCs/>
                <w:lang w:val="en-IE"/>
              </w:rPr>
              <w:t>Issues to be addressed / Description</w:t>
            </w:r>
          </w:p>
        </w:tc>
      </w:tr>
      <w:tr w:rsidR="00655479" w:rsidRPr="00655479" w14:paraId="256F4912" w14:textId="77777777" w:rsidTr="00655479">
        <w:tc>
          <w:tcPr>
            <w:tcW w:w="0" w:type="auto"/>
            <w:hideMark/>
          </w:tcPr>
          <w:p w14:paraId="6CEFDACA" w14:textId="77777777" w:rsidR="00655479" w:rsidRPr="00655479" w:rsidRDefault="00655479" w:rsidP="00655479">
            <w:pPr>
              <w:spacing w:after="160" w:line="259" w:lineRule="auto"/>
              <w:rPr>
                <w:lang w:val="en-IE"/>
              </w:rPr>
            </w:pPr>
            <w:r w:rsidRPr="00655479">
              <w:rPr>
                <w:b/>
                <w:bCs/>
                <w:lang w:val="en-IE"/>
              </w:rPr>
              <w:t>1. Data summary</w:t>
            </w:r>
          </w:p>
        </w:tc>
        <w:tc>
          <w:tcPr>
            <w:tcW w:w="0" w:type="auto"/>
            <w:hideMark/>
          </w:tcPr>
          <w:p w14:paraId="4A5FF117" w14:textId="77777777" w:rsidR="00655479" w:rsidRDefault="00655479" w:rsidP="00655479">
            <w:pPr>
              <w:spacing w:after="160" w:line="259" w:lineRule="auto"/>
              <w:rPr>
                <w:b/>
                <w:bCs/>
                <w:lang w:val="en-IE"/>
              </w:rPr>
            </w:pPr>
            <w:r w:rsidRPr="00655479">
              <w:rPr>
                <w:b/>
                <w:bCs/>
                <w:lang w:val="en-IE"/>
              </w:rPr>
              <w:t>• State the purpose of the data collection/generation</w:t>
            </w:r>
          </w:p>
          <w:p w14:paraId="512D4497" w14:textId="77777777" w:rsidR="00655479" w:rsidRDefault="00655479" w:rsidP="00655479">
            <w:pPr>
              <w:spacing w:after="160" w:line="259" w:lineRule="auto"/>
              <w:rPr>
                <w:lang w:val="en-IE"/>
              </w:rPr>
            </w:pPr>
            <w:r w:rsidRPr="00655479">
              <w:rPr>
                <w:lang w:val="en-IE"/>
              </w:rPr>
              <w:t>Tyndall will collect data on the design of the Reference Photonic Integrated Circuits (PIC), optical, electrical and thermal building blocks, orders received by the gateway office, and capabilities and capacities for each partner.</w:t>
            </w:r>
          </w:p>
          <w:p w14:paraId="6AD90778" w14:textId="35F69E8D" w:rsidR="00655479" w:rsidRDefault="00655479" w:rsidP="00655479">
            <w:pPr>
              <w:spacing w:after="160" w:line="259" w:lineRule="auto"/>
              <w:jc w:val="both"/>
              <w:rPr>
                <w:b/>
                <w:bCs/>
                <w:lang w:val="en-IE"/>
              </w:rPr>
            </w:pPr>
            <w:r w:rsidRPr="00655479">
              <w:rPr>
                <w:b/>
                <w:bCs/>
                <w:lang w:val="en-IE"/>
              </w:rPr>
              <w:t>• Explain the relation to the objectives of the project</w:t>
            </w:r>
          </w:p>
          <w:p w14:paraId="062E2867" w14:textId="77777777" w:rsidR="00655479" w:rsidRDefault="00655479" w:rsidP="00655479">
            <w:pPr>
              <w:spacing w:after="160" w:line="259" w:lineRule="auto"/>
              <w:jc w:val="both"/>
              <w:rPr>
                <w:lang w:val="en-IE"/>
              </w:rPr>
            </w:pPr>
            <w:r w:rsidRPr="00655479">
              <w:rPr>
                <w:lang w:val="en-IE"/>
              </w:rPr>
              <w:t>Collection of data is instrumental to achieve the following objectives of the project:</w:t>
            </w:r>
          </w:p>
          <w:p w14:paraId="07F55377" w14:textId="77777777" w:rsidR="00655479" w:rsidRDefault="00655479" w:rsidP="00655479">
            <w:pPr>
              <w:spacing w:after="160" w:line="259" w:lineRule="auto"/>
              <w:jc w:val="both"/>
              <w:rPr>
                <w:lang w:val="en-IE"/>
              </w:rPr>
            </w:pPr>
            <w:r w:rsidRPr="00655479">
              <w:rPr>
                <w:lang w:val="en-IE"/>
              </w:rPr>
              <w:t>Objective 1. Introduction of standards to assembly and packaging of integrated photonic devices.</w:t>
            </w:r>
          </w:p>
          <w:p w14:paraId="2AAAA02C" w14:textId="77777777" w:rsidR="00655479" w:rsidRDefault="00655479" w:rsidP="00655479">
            <w:pPr>
              <w:spacing w:after="160" w:line="259" w:lineRule="auto"/>
              <w:jc w:val="both"/>
              <w:rPr>
                <w:lang w:val="en-IE"/>
              </w:rPr>
            </w:pPr>
            <w:r w:rsidRPr="00655479">
              <w:rPr>
                <w:lang w:val="en-IE"/>
              </w:rPr>
              <w:t>Objective 2. Update of Packaging Design Rules in software for PIC designing.</w:t>
            </w:r>
          </w:p>
          <w:p w14:paraId="418AB20C" w14:textId="77777777" w:rsidR="00655479" w:rsidRDefault="00655479" w:rsidP="00655479">
            <w:pPr>
              <w:spacing w:after="160" w:line="259" w:lineRule="auto"/>
              <w:jc w:val="both"/>
              <w:rPr>
                <w:lang w:val="en-IE"/>
              </w:rPr>
            </w:pPr>
            <w:r w:rsidRPr="00655479">
              <w:rPr>
                <w:lang w:val="en-IE"/>
              </w:rPr>
              <w:t>Objective 3. Assist with road-mapping of integrated photonic circuits.</w:t>
            </w:r>
          </w:p>
          <w:p w14:paraId="72A14843" w14:textId="204CE8C6" w:rsidR="00655479" w:rsidRDefault="00655479" w:rsidP="00655479">
            <w:pPr>
              <w:spacing w:after="160" w:line="259" w:lineRule="auto"/>
              <w:jc w:val="both"/>
              <w:rPr>
                <w:lang w:val="en-IE"/>
              </w:rPr>
            </w:pPr>
            <w:r w:rsidRPr="00655479">
              <w:rPr>
                <w:lang w:val="en-IE"/>
              </w:rPr>
              <w:t>Objective 4. Bring current production of integrated photonic devices from lab scale to pilot volumes.</w:t>
            </w:r>
          </w:p>
          <w:p w14:paraId="328428BC" w14:textId="77777777" w:rsidR="00655479" w:rsidRDefault="00655479" w:rsidP="00655479">
            <w:pPr>
              <w:spacing w:after="160" w:line="259" w:lineRule="auto"/>
              <w:rPr>
                <w:b/>
                <w:bCs/>
                <w:lang w:val="en-IE"/>
              </w:rPr>
            </w:pPr>
            <w:r w:rsidRPr="00655479">
              <w:rPr>
                <w:b/>
                <w:bCs/>
                <w:lang w:val="en-IE"/>
              </w:rPr>
              <w:t>• Specify the types and formats of data generated/collected</w:t>
            </w:r>
          </w:p>
          <w:p w14:paraId="2398C158" w14:textId="77777777" w:rsidR="00655479" w:rsidRDefault="00655479" w:rsidP="00655479">
            <w:pPr>
              <w:spacing w:after="160" w:line="259" w:lineRule="auto"/>
              <w:rPr>
                <w:lang w:val="en-IE"/>
              </w:rPr>
            </w:pPr>
            <w:r w:rsidRPr="00655479">
              <w:rPr>
                <w:lang w:val="en-IE"/>
              </w:rPr>
              <w:t>Data formats include Excel files (.</w:t>
            </w:r>
            <w:proofErr w:type="spellStart"/>
            <w:r w:rsidRPr="00655479">
              <w:rPr>
                <w:lang w:val="en-IE"/>
              </w:rPr>
              <w:t>xls</w:t>
            </w:r>
            <w:proofErr w:type="spellEnd"/>
            <w:r w:rsidRPr="00655479">
              <w:rPr>
                <w:lang w:val="en-IE"/>
              </w:rPr>
              <w:t>), PowerPoint (.</w:t>
            </w:r>
            <w:proofErr w:type="spellStart"/>
            <w:r w:rsidRPr="00655479">
              <w:rPr>
                <w:lang w:val="en-IE"/>
              </w:rPr>
              <w:t>pps</w:t>
            </w:r>
            <w:proofErr w:type="spellEnd"/>
            <w:r w:rsidRPr="00655479">
              <w:rPr>
                <w:lang w:val="en-IE"/>
              </w:rPr>
              <w:t>), Word (.docx), Project (.</w:t>
            </w:r>
            <w:proofErr w:type="spellStart"/>
            <w:r w:rsidRPr="00655479">
              <w:rPr>
                <w:lang w:val="en-IE"/>
              </w:rPr>
              <w:t>mpp</w:t>
            </w:r>
            <w:proofErr w:type="spellEnd"/>
            <w:r w:rsidRPr="00655479">
              <w:rPr>
                <w:lang w:val="en-IE"/>
              </w:rPr>
              <w:t>), OneNote (.one), OptoDesigner files (.</w:t>
            </w:r>
            <w:proofErr w:type="spellStart"/>
            <w:r w:rsidRPr="00655479">
              <w:rPr>
                <w:lang w:val="en-IE"/>
              </w:rPr>
              <w:t>gds</w:t>
            </w:r>
            <w:proofErr w:type="spellEnd"/>
            <w:r w:rsidRPr="00655479">
              <w:rPr>
                <w:lang w:val="en-IE"/>
              </w:rPr>
              <w:t>), CAD designs, picture formats (JPEG, GIF, etc.), and video formats.</w:t>
            </w:r>
          </w:p>
          <w:p w14:paraId="4429D52D" w14:textId="77777777" w:rsidR="00655479" w:rsidRDefault="00655479" w:rsidP="00655479">
            <w:pPr>
              <w:spacing w:after="160" w:line="259" w:lineRule="auto"/>
              <w:rPr>
                <w:b/>
                <w:bCs/>
                <w:lang w:val="en-IE"/>
              </w:rPr>
            </w:pPr>
            <w:r w:rsidRPr="00655479">
              <w:rPr>
                <w:b/>
                <w:bCs/>
                <w:lang w:val="en-IE"/>
              </w:rPr>
              <w:t>• Specify if existing data is being re-used (if any)</w:t>
            </w:r>
          </w:p>
          <w:p w14:paraId="07F5DB27" w14:textId="05EF30A5" w:rsidR="00655479" w:rsidRDefault="00655479" w:rsidP="00655479">
            <w:pPr>
              <w:spacing w:after="160" w:line="259" w:lineRule="auto"/>
              <w:rPr>
                <w:lang w:val="en-IE"/>
              </w:rPr>
            </w:pPr>
            <w:r w:rsidRPr="00655479">
              <w:rPr>
                <w:lang w:val="en-IE"/>
              </w:rPr>
              <w:t>No explicit re-use of existing data is specified.</w:t>
            </w:r>
          </w:p>
          <w:p w14:paraId="46B97A74" w14:textId="77777777" w:rsidR="00655479" w:rsidRDefault="00655479" w:rsidP="00655479">
            <w:pPr>
              <w:spacing w:after="160" w:line="259" w:lineRule="auto"/>
              <w:rPr>
                <w:b/>
                <w:bCs/>
                <w:lang w:val="en-IE"/>
              </w:rPr>
            </w:pPr>
            <w:r w:rsidRPr="00655479">
              <w:rPr>
                <w:b/>
                <w:bCs/>
                <w:lang w:val="en-IE"/>
              </w:rPr>
              <w:t>• Specify the origin of the data</w:t>
            </w:r>
          </w:p>
          <w:p w14:paraId="3AB903FC" w14:textId="5B898B7F" w:rsidR="00655479" w:rsidRDefault="00655479" w:rsidP="00655479">
            <w:pPr>
              <w:spacing w:after="160" w:line="259" w:lineRule="auto"/>
              <w:rPr>
                <w:lang w:val="en-IE"/>
              </w:rPr>
            </w:pPr>
            <w:r w:rsidRPr="00655479">
              <w:rPr>
                <w:lang w:val="en-IE"/>
              </w:rPr>
              <w:t>Data is generated internally by Tyndall in the course of project activities and through interactions with project partners and the gateway office.</w:t>
            </w:r>
          </w:p>
          <w:p w14:paraId="417FE693" w14:textId="77777777" w:rsidR="00655479" w:rsidRDefault="00655479" w:rsidP="00655479">
            <w:pPr>
              <w:spacing w:after="160" w:line="259" w:lineRule="auto"/>
              <w:rPr>
                <w:b/>
                <w:bCs/>
                <w:lang w:val="en-IE"/>
              </w:rPr>
            </w:pPr>
            <w:r w:rsidRPr="00655479">
              <w:rPr>
                <w:b/>
                <w:bCs/>
                <w:lang w:val="en-IE"/>
              </w:rPr>
              <w:t>• State the expected size of the data (if known)</w:t>
            </w:r>
          </w:p>
          <w:p w14:paraId="7B5BB1EA" w14:textId="4481C56E" w:rsidR="00655479" w:rsidRDefault="00655479" w:rsidP="00655479">
            <w:pPr>
              <w:spacing w:after="160" w:line="259" w:lineRule="auto"/>
              <w:rPr>
                <w:lang w:val="en-IE"/>
              </w:rPr>
            </w:pPr>
            <w:r w:rsidRPr="00655479">
              <w:rPr>
                <w:lang w:val="en-IE"/>
              </w:rPr>
              <w:t>The expected size of the data is not specified.</w:t>
            </w:r>
          </w:p>
          <w:p w14:paraId="78FD9571" w14:textId="77777777" w:rsidR="00655479" w:rsidRDefault="00655479" w:rsidP="00655479">
            <w:pPr>
              <w:spacing w:after="160" w:line="259" w:lineRule="auto"/>
              <w:rPr>
                <w:b/>
                <w:bCs/>
                <w:lang w:val="en-IE"/>
              </w:rPr>
            </w:pPr>
            <w:r w:rsidRPr="00655479">
              <w:rPr>
                <w:b/>
                <w:bCs/>
                <w:lang w:val="en-IE"/>
              </w:rPr>
              <w:t>• Outline the data utility: to whom will it be useful</w:t>
            </w:r>
          </w:p>
          <w:p w14:paraId="48A96407" w14:textId="008E952D" w:rsidR="00655479" w:rsidRPr="00655479" w:rsidRDefault="00655479" w:rsidP="00655479">
            <w:pPr>
              <w:spacing w:after="160" w:line="259" w:lineRule="auto"/>
              <w:rPr>
                <w:lang w:val="en-IE"/>
              </w:rPr>
            </w:pPr>
            <w:r w:rsidRPr="00655479">
              <w:rPr>
                <w:lang w:val="en-IE"/>
              </w:rPr>
              <w:t>Data is useful for technology partners (VTT, TU/e, Cordon, HHI, IMEC, KIT, Argotech, MFC, Eblana, Tyndall), technology suppliers (Ficontec), and dissemination partners (EPIC).</w:t>
            </w:r>
          </w:p>
        </w:tc>
      </w:tr>
      <w:tr w:rsidR="00655479" w:rsidRPr="00655479" w14:paraId="34295742" w14:textId="77777777" w:rsidTr="00655479">
        <w:tc>
          <w:tcPr>
            <w:tcW w:w="0" w:type="auto"/>
            <w:hideMark/>
          </w:tcPr>
          <w:p w14:paraId="3952F9ED" w14:textId="77777777" w:rsidR="00655479" w:rsidRPr="00655479" w:rsidRDefault="00655479" w:rsidP="00655479">
            <w:pPr>
              <w:spacing w:after="160" w:line="259" w:lineRule="auto"/>
              <w:rPr>
                <w:lang w:val="en-IE"/>
              </w:rPr>
            </w:pPr>
            <w:r w:rsidRPr="00655479">
              <w:rPr>
                <w:b/>
                <w:bCs/>
                <w:lang w:val="en-IE"/>
              </w:rPr>
              <w:t>2. FAIR Data</w:t>
            </w:r>
          </w:p>
        </w:tc>
        <w:tc>
          <w:tcPr>
            <w:tcW w:w="0" w:type="auto"/>
            <w:hideMark/>
          </w:tcPr>
          <w:p w14:paraId="3F4AD064" w14:textId="77777777" w:rsidR="00655479" w:rsidRPr="00655479" w:rsidRDefault="00655479" w:rsidP="00655479">
            <w:pPr>
              <w:spacing w:after="160" w:line="259" w:lineRule="auto"/>
              <w:rPr>
                <w:lang w:val="en-IE"/>
              </w:rPr>
            </w:pPr>
          </w:p>
        </w:tc>
      </w:tr>
      <w:tr w:rsidR="00655479" w:rsidRPr="00655479" w14:paraId="5BEC7A17" w14:textId="77777777" w:rsidTr="00655479">
        <w:tc>
          <w:tcPr>
            <w:tcW w:w="0" w:type="auto"/>
            <w:hideMark/>
          </w:tcPr>
          <w:p w14:paraId="31054B08" w14:textId="77777777" w:rsidR="00655479" w:rsidRPr="00655479" w:rsidRDefault="00655479" w:rsidP="00655479">
            <w:pPr>
              <w:spacing w:after="160" w:line="259" w:lineRule="auto"/>
              <w:rPr>
                <w:lang w:val="en-IE"/>
              </w:rPr>
            </w:pPr>
            <w:r w:rsidRPr="00655479">
              <w:rPr>
                <w:b/>
                <w:bCs/>
                <w:lang w:val="en-IE"/>
              </w:rPr>
              <w:t>2.1 Making data findable, including provisions for metadata</w:t>
            </w:r>
          </w:p>
        </w:tc>
        <w:tc>
          <w:tcPr>
            <w:tcW w:w="0" w:type="auto"/>
            <w:hideMark/>
          </w:tcPr>
          <w:p w14:paraId="307AA6BC" w14:textId="77777777" w:rsidR="00655479" w:rsidRDefault="00655479" w:rsidP="00655479">
            <w:pPr>
              <w:spacing w:after="160" w:line="259" w:lineRule="auto"/>
              <w:rPr>
                <w:b/>
                <w:bCs/>
                <w:lang w:val="en-IE"/>
              </w:rPr>
            </w:pPr>
            <w:r w:rsidRPr="00655479">
              <w:rPr>
                <w:b/>
                <w:bCs/>
                <w:lang w:val="en-IE"/>
              </w:rPr>
              <w:t>• Outline the discoverability of data (metadata provision)</w:t>
            </w:r>
          </w:p>
          <w:p w14:paraId="6DAF9A3C" w14:textId="05A89C23" w:rsidR="00655479" w:rsidRDefault="00655479" w:rsidP="00655479">
            <w:pPr>
              <w:spacing w:after="160" w:line="259" w:lineRule="auto"/>
              <w:rPr>
                <w:lang w:val="en-IE"/>
              </w:rPr>
            </w:pPr>
            <w:r w:rsidRPr="00655479">
              <w:rPr>
                <w:lang w:val="en-IE"/>
              </w:rPr>
              <w:t>Data will be stored in a shared folder (SharePoint).</w:t>
            </w:r>
          </w:p>
          <w:p w14:paraId="0951D28F" w14:textId="77777777" w:rsidR="00655479" w:rsidRDefault="00655479" w:rsidP="00655479">
            <w:pPr>
              <w:spacing w:after="160" w:line="259" w:lineRule="auto"/>
              <w:rPr>
                <w:b/>
                <w:bCs/>
                <w:lang w:val="en-IE"/>
              </w:rPr>
            </w:pPr>
            <w:r w:rsidRPr="00655479">
              <w:rPr>
                <w:b/>
                <w:bCs/>
                <w:lang w:val="en-IE"/>
              </w:rPr>
              <w:lastRenderedPageBreak/>
              <w:t>• Outline the identifiability of data and refer to standard identification mechanisms</w:t>
            </w:r>
          </w:p>
          <w:p w14:paraId="5CAF6002" w14:textId="27F8A800" w:rsidR="00655479" w:rsidRDefault="00655479" w:rsidP="00655479">
            <w:pPr>
              <w:spacing w:after="160" w:line="259" w:lineRule="auto"/>
              <w:rPr>
                <w:lang w:val="en-IE"/>
              </w:rPr>
            </w:pPr>
            <w:r w:rsidRPr="00655479">
              <w:rPr>
                <w:lang w:val="en-IE"/>
              </w:rPr>
              <w:t>No persistent identifiers are used.</w:t>
            </w:r>
          </w:p>
          <w:p w14:paraId="5EB87ADC" w14:textId="77777777" w:rsidR="00655479" w:rsidRDefault="00655479" w:rsidP="00655479">
            <w:pPr>
              <w:spacing w:after="160" w:line="259" w:lineRule="auto"/>
              <w:rPr>
                <w:b/>
                <w:bCs/>
                <w:lang w:val="en-IE"/>
              </w:rPr>
            </w:pPr>
            <w:r w:rsidRPr="00655479">
              <w:rPr>
                <w:b/>
                <w:bCs/>
                <w:lang w:val="en-IE"/>
              </w:rPr>
              <w:t>• Outline naming conventions used</w:t>
            </w:r>
          </w:p>
          <w:p w14:paraId="41EC3ABF" w14:textId="0FEEFEFA" w:rsidR="00655479" w:rsidRDefault="00655479" w:rsidP="00655479">
            <w:pPr>
              <w:spacing w:after="160" w:line="259" w:lineRule="auto"/>
              <w:rPr>
                <w:lang w:val="en-IE"/>
              </w:rPr>
            </w:pPr>
            <w:r w:rsidRPr="00655479">
              <w:rPr>
                <w:lang w:val="en-IE"/>
              </w:rPr>
              <w:t>Naming convention: [WP#]_[TASK]_[CONTENT DATA]_[V].[EXT]</w:t>
            </w:r>
          </w:p>
          <w:p w14:paraId="648FA5A1" w14:textId="77777777" w:rsidR="00655479" w:rsidRDefault="00655479" w:rsidP="00655479">
            <w:pPr>
              <w:spacing w:after="160" w:line="259" w:lineRule="auto"/>
              <w:rPr>
                <w:b/>
                <w:bCs/>
                <w:lang w:val="en-IE"/>
              </w:rPr>
            </w:pPr>
            <w:r w:rsidRPr="00655479">
              <w:rPr>
                <w:b/>
                <w:bCs/>
                <w:lang w:val="en-IE"/>
              </w:rPr>
              <w:t>• Outline the approach towards search keywords</w:t>
            </w:r>
          </w:p>
          <w:p w14:paraId="15B013FA" w14:textId="77777777" w:rsidR="00655479" w:rsidRDefault="00655479" w:rsidP="00655479">
            <w:pPr>
              <w:spacing w:after="160" w:line="259" w:lineRule="auto"/>
              <w:rPr>
                <w:lang w:val="en-IE"/>
              </w:rPr>
            </w:pPr>
            <w:r w:rsidRPr="00655479">
              <w:rPr>
                <w:lang w:val="en-IE"/>
              </w:rPr>
              <w:t>Not specified.</w:t>
            </w:r>
          </w:p>
          <w:p w14:paraId="16D36AA9" w14:textId="77777777" w:rsidR="00655479" w:rsidRDefault="00655479" w:rsidP="00655479">
            <w:pPr>
              <w:spacing w:after="160" w:line="259" w:lineRule="auto"/>
              <w:rPr>
                <w:b/>
                <w:bCs/>
                <w:lang w:val="en-IE"/>
              </w:rPr>
            </w:pPr>
            <w:r w:rsidRPr="00655479">
              <w:rPr>
                <w:b/>
                <w:bCs/>
                <w:lang w:val="en-IE"/>
              </w:rPr>
              <w:t>• Outline the approach for clear versioning</w:t>
            </w:r>
          </w:p>
          <w:p w14:paraId="0DBBE086" w14:textId="60862F5A" w:rsidR="00655479" w:rsidRDefault="00655479" w:rsidP="00655479">
            <w:pPr>
              <w:spacing w:after="160" w:line="259" w:lineRule="auto"/>
              <w:rPr>
                <w:lang w:val="en-IE"/>
              </w:rPr>
            </w:pPr>
            <w:r w:rsidRPr="00655479">
              <w:rPr>
                <w:lang w:val="en-IE"/>
              </w:rPr>
              <w:t>Versioning is indicated through the [V] element of the file name.</w:t>
            </w:r>
          </w:p>
          <w:p w14:paraId="03CF15E3" w14:textId="77777777" w:rsidR="00655479" w:rsidRDefault="00655479" w:rsidP="00655479">
            <w:pPr>
              <w:spacing w:after="160" w:line="259" w:lineRule="auto"/>
              <w:rPr>
                <w:b/>
                <w:bCs/>
                <w:lang w:val="en-IE"/>
              </w:rPr>
            </w:pPr>
            <w:r w:rsidRPr="00655479">
              <w:rPr>
                <w:b/>
                <w:bCs/>
                <w:lang w:val="en-IE"/>
              </w:rPr>
              <w:t>• Specify standards for metadata creation (if any)</w:t>
            </w:r>
          </w:p>
          <w:p w14:paraId="331C3365" w14:textId="6C5B40BA" w:rsidR="00655479" w:rsidRPr="00655479" w:rsidRDefault="00655479" w:rsidP="00655479">
            <w:pPr>
              <w:spacing w:after="160" w:line="259" w:lineRule="auto"/>
              <w:rPr>
                <w:lang w:val="en-IE"/>
              </w:rPr>
            </w:pPr>
            <w:r w:rsidRPr="00655479">
              <w:rPr>
                <w:lang w:val="en-IE"/>
              </w:rPr>
              <w:t>No metadata standards are defined. Access to data will be guaranteed for the duration of the project and for six months after the end of the project.</w:t>
            </w:r>
          </w:p>
        </w:tc>
      </w:tr>
      <w:tr w:rsidR="00655479" w:rsidRPr="00655479" w14:paraId="121693B6" w14:textId="77777777" w:rsidTr="00655479">
        <w:tc>
          <w:tcPr>
            <w:tcW w:w="0" w:type="auto"/>
            <w:hideMark/>
          </w:tcPr>
          <w:p w14:paraId="1A149A60" w14:textId="77777777" w:rsidR="00655479" w:rsidRPr="00655479" w:rsidRDefault="00655479" w:rsidP="00655479">
            <w:pPr>
              <w:spacing w:after="160" w:line="259" w:lineRule="auto"/>
              <w:rPr>
                <w:lang w:val="en-IE"/>
              </w:rPr>
            </w:pPr>
            <w:r w:rsidRPr="00655479">
              <w:rPr>
                <w:b/>
                <w:bCs/>
                <w:lang w:val="en-IE"/>
              </w:rPr>
              <w:lastRenderedPageBreak/>
              <w:t>2.2 Making data openly accessible</w:t>
            </w:r>
          </w:p>
        </w:tc>
        <w:tc>
          <w:tcPr>
            <w:tcW w:w="0" w:type="auto"/>
            <w:hideMark/>
          </w:tcPr>
          <w:p w14:paraId="3001A18B" w14:textId="77777777" w:rsidR="00655479" w:rsidRDefault="00655479" w:rsidP="00655479">
            <w:pPr>
              <w:spacing w:after="160" w:line="259" w:lineRule="auto"/>
              <w:rPr>
                <w:b/>
                <w:bCs/>
                <w:lang w:val="en-IE"/>
              </w:rPr>
            </w:pPr>
            <w:r w:rsidRPr="00655479">
              <w:rPr>
                <w:b/>
                <w:bCs/>
                <w:lang w:val="en-IE"/>
              </w:rPr>
              <w:t>• Specify which data will be made openly available</w:t>
            </w:r>
          </w:p>
          <w:p w14:paraId="6B9BB7A7" w14:textId="77777777" w:rsidR="00655479" w:rsidRDefault="00655479" w:rsidP="00655479">
            <w:pPr>
              <w:spacing w:after="160" w:line="259" w:lineRule="auto"/>
              <w:rPr>
                <w:lang w:val="en-IE"/>
              </w:rPr>
            </w:pPr>
            <w:r w:rsidRPr="00655479">
              <w:rPr>
                <w:lang w:val="en-IE"/>
              </w:rPr>
              <w:t>Data will be available to all project partners through SharePoint.</w:t>
            </w:r>
          </w:p>
          <w:p w14:paraId="511DE3BD" w14:textId="1929973D" w:rsidR="00655479" w:rsidRDefault="00655479" w:rsidP="00655479">
            <w:pPr>
              <w:spacing w:after="160" w:line="259" w:lineRule="auto"/>
              <w:rPr>
                <w:b/>
                <w:bCs/>
                <w:lang w:val="en-IE"/>
              </w:rPr>
            </w:pPr>
            <w:r w:rsidRPr="00655479">
              <w:rPr>
                <w:b/>
                <w:bCs/>
                <w:lang w:val="en-IE"/>
              </w:rPr>
              <w:t>• Specify how the data will be made available</w:t>
            </w:r>
          </w:p>
          <w:p w14:paraId="36AAB4A5" w14:textId="77777777" w:rsidR="00655479" w:rsidRDefault="00655479" w:rsidP="00655479">
            <w:pPr>
              <w:spacing w:after="160" w:line="259" w:lineRule="auto"/>
              <w:rPr>
                <w:lang w:val="en-IE"/>
              </w:rPr>
            </w:pPr>
            <w:r w:rsidRPr="00655479">
              <w:rPr>
                <w:lang w:val="en-IE"/>
              </w:rPr>
              <w:t>Access to folders is granted by the repository owner (coordinator).</w:t>
            </w:r>
          </w:p>
          <w:p w14:paraId="46922A3E" w14:textId="77777777" w:rsidR="00655479" w:rsidRDefault="00655479" w:rsidP="00655479">
            <w:pPr>
              <w:spacing w:after="160" w:line="259" w:lineRule="auto"/>
              <w:rPr>
                <w:b/>
                <w:bCs/>
                <w:lang w:val="en-IE"/>
              </w:rPr>
            </w:pPr>
            <w:r w:rsidRPr="00655479">
              <w:rPr>
                <w:b/>
                <w:bCs/>
                <w:lang w:val="en-IE"/>
              </w:rPr>
              <w:t>• Specify what methods or software tools are needed to access the data</w:t>
            </w:r>
          </w:p>
          <w:p w14:paraId="629C16F5" w14:textId="77777777" w:rsidR="00655479" w:rsidRDefault="00655479" w:rsidP="00655479">
            <w:pPr>
              <w:spacing w:after="160" w:line="259" w:lineRule="auto"/>
              <w:rPr>
                <w:lang w:val="en-IE"/>
              </w:rPr>
            </w:pPr>
            <w:r w:rsidRPr="00655479">
              <w:rPr>
                <w:lang w:val="en-IE"/>
              </w:rPr>
              <w:t>Data can be accessed using software appropriate to the data format, such as Microsoft Office or OptoDesigner.</w:t>
            </w:r>
          </w:p>
          <w:p w14:paraId="7EE45CD1" w14:textId="706B6204" w:rsidR="00655479" w:rsidRDefault="00655479" w:rsidP="00655479">
            <w:pPr>
              <w:spacing w:after="160" w:line="259" w:lineRule="auto"/>
              <w:rPr>
                <w:b/>
                <w:bCs/>
                <w:lang w:val="en-IE"/>
              </w:rPr>
            </w:pPr>
            <w:r w:rsidRPr="00655479">
              <w:rPr>
                <w:b/>
                <w:bCs/>
                <w:lang w:val="en-IE"/>
              </w:rPr>
              <w:t>• Specify where the data and associated metadata are deposited</w:t>
            </w:r>
          </w:p>
          <w:p w14:paraId="6CF7197E" w14:textId="77777777" w:rsidR="00655479" w:rsidRDefault="00655479" w:rsidP="00655479">
            <w:pPr>
              <w:spacing w:after="160" w:line="259" w:lineRule="auto"/>
              <w:rPr>
                <w:lang w:val="en-IE"/>
              </w:rPr>
            </w:pPr>
            <w:r w:rsidRPr="00655479">
              <w:rPr>
                <w:lang w:val="en-IE"/>
              </w:rPr>
              <w:t>Data is deposited in the shared SharePoint repository.</w:t>
            </w:r>
          </w:p>
          <w:p w14:paraId="65A31AB3" w14:textId="19C9C77F" w:rsidR="00655479" w:rsidRDefault="00655479" w:rsidP="00655479">
            <w:pPr>
              <w:spacing w:after="160" w:line="259" w:lineRule="auto"/>
              <w:rPr>
                <w:b/>
                <w:bCs/>
                <w:lang w:val="en-IE"/>
              </w:rPr>
            </w:pPr>
            <w:r w:rsidRPr="00655479">
              <w:rPr>
                <w:b/>
                <w:bCs/>
                <w:lang w:val="en-IE"/>
              </w:rPr>
              <w:t>• Specify how access will be provided in case there are restrictions</w:t>
            </w:r>
          </w:p>
          <w:p w14:paraId="23731C6F" w14:textId="5772AEA7" w:rsidR="00655479" w:rsidRPr="00655479" w:rsidRDefault="00655479" w:rsidP="00655479">
            <w:pPr>
              <w:spacing w:after="160" w:line="259" w:lineRule="auto"/>
              <w:rPr>
                <w:lang w:val="en-IE"/>
              </w:rPr>
            </w:pPr>
            <w:r w:rsidRPr="00655479">
              <w:rPr>
                <w:lang w:val="en-IE"/>
              </w:rPr>
              <w:t>Access is controlled by the coordinator in line with the Consortium Agreement.</w:t>
            </w:r>
          </w:p>
        </w:tc>
      </w:tr>
      <w:tr w:rsidR="00655479" w:rsidRPr="00655479" w14:paraId="723BCD10" w14:textId="77777777" w:rsidTr="00655479">
        <w:tc>
          <w:tcPr>
            <w:tcW w:w="0" w:type="auto"/>
            <w:hideMark/>
          </w:tcPr>
          <w:p w14:paraId="072D683D" w14:textId="77777777" w:rsidR="00655479" w:rsidRPr="00655479" w:rsidRDefault="00655479" w:rsidP="00655479">
            <w:pPr>
              <w:spacing w:after="160" w:line="259" w:lineRule="auto"/>
              <w:rPr>
                <w:lang w:val="en-IE"/>
              </w:rPr>
            </w:pPr>
            <w:r w:rsidRPr="00655479">
              <w:rPr>
                <w:b/>
                <w:bCs/>
                <w:lang w:val="en-IE"/>
              </w:rPr>
              <w:t>2.3 Making data interoperable</w:t>
            </w:r>
          </w:p>
        </w:tc>
        <w:tc>
          <w:tcPr>
            <w:tcW w:w="0" w:type="auto"/>
            <w:hideMark/>
          </w:tcPr>
          <w:p w14:paraId="597B3105" w14:textId="77777777" w:rsidR="00655479" w:rsidRDefault="00655479" w:rsidP="00655479">
            <w:pPr>
              <w:spacing w:after="160" w:line="259" w:lineRule="auto"/>
              <w:rPr>
                <w:b/>
                <w:bCs/>
                <w:lang w:val="en-IE"/>
              </w:rPr>
            </w:pPr>
            <w:r w:rsidRPr="00655479">
              <w:rPr>
                <w:b/>
                <w:bCs/>
                <w:lang w:val="en-IE"/>
              </w:rPr>
              <w:t xml:space="preserve">• Assess the interoperability of your </w:t>
            </w:r>
            <w:proofErr w:type="spellStart"/>
            <w:r w:rsidRPr="00655479">
              <w:rPr>
                <w:b/>
                <w:bCs/>
                <w:lang w:val="en-IE"/>
              </w:rPr>
              <w:t>data</w:t>
            </w:r>
            <w:proofErr w:type="spellEnd"/>
          </w:p>
          <w:p w14:paraId="7404ABB2" w14:textId="79054028" w:rsidR="00655479" w:rsidRPr="00655479" w:rsidRDefault="00655479" w:rsidP="00655479">
            <w:pPr>
              <w:spacing w:after="160" w:line="259" w:lineRule="auto"/>
              <w:rPr>
                <w:lang w:val="en-IE"/>
              </w:rPr>
            </w:pPr>
            <w:r w:rsidRPr="00655479">
              <w:rPr>
                <w:lang w:val="en-IE"/>
              </w:rPr>
              <w:t>No specific issues of interoperability are present.</w:t>
            </w:r>
          </w:p>
        </w:tc>
      </w:tr>
      <w:tr w:rsidR="00655479" w:rsidRPr="00655479" w14:paraId="5BA5F404" w14:textId="77777777" w:rsidTr="00655479">
        <w:tc>
          <w:tcPr>
            <w:tcW w:w="0" w:type="auto"/>
            <w:hideMark/>
          </w:tcPr>
          <w:p w14:paraId="7B36D353" w14:textId="77777777" w:rsidR="00655479" w:rsidRPr="00655479" w:rsidRDefault="00655479" w:rsidP="00655479">
            <w:pPr>
              <w:spacing w:after="160" w:line="259" w:lineRule="auto"/>
              <w:rPr>
                <w:lang w:val="en-IE"/>
              </w:rPr>
            </w:pPr>
            <w:r w:rsidRPr="00655479">
              <w:rPr>
                <w:b/>
                <w:bCs/>
                <w:lang w:val="en-IE"/>
              </w:rPr>
              <w:t>2.4 Increase data re-use (through clarifying licences)</w:t>
            </w:r>
          </w:p>
        </w:tc>
        <w:tc>
          <w:tcPr>
            <w:tcW w:w="0" w:type="auto"/>
            <w:hideMark/>
          </w:tcPr>
          <w:p w14:paraId="1900DC9B" w14:textId="77777777" w:rsidR="00655479" w:rsidRDefault="00655479" w:rsidP="00655479">
            <w:pPr>
              <w:spacing w:after="160" w:line="259" w:lineRule="auto"/>
              <w:rPr>
                <w:b/>
                <w:bCs/>
                <w:lang w:val="en-IE"/>
              </w:rPr>
            </w:pPr>
            <w:r w:rsidRPr="00655479">
              <w:rPr>
                <w:b/>
                <w:bCs/>
                <w:lang w:val="en-IE"/>
              </w:rPr>
              <w:t>• Specify how the data will be licensed</w:t>
            </w:r>
          </w:p>
          <w:p w14:paraId="378F8263" w14:textId="77777777" w:rsidR="00655479" w:rsidRDefault="00655479" w:rsidP="00655479">
            <w:pPr>
              <w:spacing w:after="160" w:line="259" w:lineRule="auto"/>
              <w:rPr>
                <w:lang w:val="en-IE"/>
              </w:rPr>
            </w:pPr>
            <w:r w:rsidRPr="00655479">
              <w:rPr>
                <w:lang w:val="en-IE"/>
              </w:rPr>
              <w:t>Use of data is freely available to all partners under the access rights regulated by the PIXAPP Consortium Agreement. Publishable data will be released in Open Access.</w:t>
            </w:r>
          </w:p>
          <w:p w14:paraId="1EEA0BE2" w14:textId="77777777" w:rsidR="00655479" w:rsidRDefault="00655479" w:rsidP="00655479">
            <w:pPr>
              <w:spacing w:after="160" w:line="259" w:lineRule="auto"/>
              <w:rPr>
                <w:b/>
                <w:bCs/>
                <w:lang w:val="en-IE"/>
              </w:rPr>
            </w:pPr>
            <w:r w:rsidRPr="00655479">
              <w:rPr>
                <w:b/>
                <w:bCs/>
                <w:lang w:val="en-IE"/>
              </w:rPr>
              <w:t>• Specify when the data will be made available for re-use</w:t>
            </w:r>
          </w:p>
          <w:p w14:paraId="2CBF898C" w14:textId="77777777" w:rsidR="00655479" w:rsidRDefault="00655479" w:rsidP="00655479">
            <w:pPr>
              <w:spacing w:after="160" w:line="259" w:lineRule="auto"/>
              <w:rPr>
                <w:lang w:val="en-IE"/>
              </w:rPr>
            </w:pPr>
            <w:r w:rsidRPr="00655479">
              <w:rPr>
                <w:lang w:val="en-IE"/>
              </w:rPr>
              <w:lastRenderedPageBreak/>
              <w:t>After the end of the project, partners will agree on access conditions and limitations, including embargo periods.</w:t>
            </w:r>
          </w:p>
          <w:p w14:paraId="3AA579E7" w14:textId="77777777" w:rsidR="00655479" w:rsidRDefault="00655479" w:rsidP="00655479">
            <w:pPr>
              <w:spacing w:after="160" w:line="259" w:lineRule="auto"/>
              <w:rPr>
                <w:b/>
                <w:bCs/>
                <w:lang w:val="en-IE"/>
              </w:rPr>
            </w:pPr>
            <w:r w:rsidRPr="00655479">
              <w:rPr>
                <w:b/>
                <w:bCs/>
                <w:lang w:val="en-IE"/>
              </w:rPr>
              <w:t>• Specify whether the data is usable by third parties</w:t>
            </w:r>
          </w:p>
          <w:p w14:paraId="181B7FE4" w14:textId="77777777" w:rsidR="00655479" w:rsidRDefault="00655479" w:rsidP="00655479">
            <w:pPr>
              <w:spacing w:after="160" w:line="259" w:lineRule="auto"/>
              <w:rPr>
                <w:lang w:val="en-IE"/>
              </w:rPr>
            </w:pPr>
            <w:r w:rsidRPr="00655479">
              <w:rPr>
                <w:lang w:val="en-IE"/>
              </w:rPr>
              <w:t>Re-use is subject to Consortium Agreement provisions.</w:t>
            </w:r>
          </w:p>
          <w:p w14:paraId="02CF119D" w14:textId="5CE35407" w:rsidR="00655479" w:rsidRDefault="00655479" w:rsidP="00655479">
            <w:pPr>
              <w:spacing w:after="160" w:line="259" w:lineRule="auto"/>
              <w:rPr>
                <w:b/>
                <w:bCs/>
                <w:lang w:val="en-IE"/>
              </w:rPr>
            </w:pPr>
            <w:r w:rsidRPr="00655479">
              <w:rPr>
                <w:b/>
                <w:bCs/>
                <w:lang w:val="en-IE"/>
              </w:rPr>
              <w:t>• Describe data quality assurance processes</w:t>
            </w:r>
          </w:p>
          <w:p w14:paraId="6E669CBC" w14:textId="77777777" w:rsidR="00655479" w:rsidRDefault="00655479" w:rsidP="00655479">
            <w:pPr>
              <w:spacing w:after="160" w:line="259" w:lineRule="auto"/>
              <w:rPr>
                <w:lang w:val="en-IE"/>
              </w:rPr>
            </w:pPr>
            <w:r w:rsidRPr="00655479">
              <w:rPr>
                <w:lang w:val="en-IE"/>
              </w:rPr>
              <w:t>Quality is ensured through repetition of tests and processes.</w:t>
            </w:r>
          </w:p>
          <w:p w14:paraId="669C17CD" w14:textId="77777777" w:rsidR="00655479" w:rsidRDefault="00655479" w:rsidP="00655479">
            <w:pPr>
              <w:spacing w:after="160" w:line="259" w:lineRule="auto"/>
              <w:rPr>
                <w:b/>
                <w:bCs/>
                <w:lang w:val="en-IE"/>
              </w:rPr>
            </w:pPr>
            <w:r w:rsidRPr="00655479">
              <w:rPr>
                <w:b/>
                <w:bCs/>
                <w:lang w:val="en-IE"/>
              </w:rPr>
              <w:t>• Specify the length of time for which the data will remain re-usable</w:t>
            </w:r>
          </w:p>
          <w:p w14:paraId="01560261" w14:textId="7197C637" w:rsidR="00655479" w:rsidRPr="00655479" w:rsidRDefault="00655479" w:rsidP="00655479">
            <w:pPr>
              <w:spacing w:after="160" w:line="259" w:lineRule="auto"/>
              <w:rPr>
                <w:lang w:val="en-IE"/>
              </w:rPr>
            </w:pPr>
            <w:r w:rsidRPr="00655479">
              <w:rPr>
                <w:lang w:val="en-IE"/>
              </w:rPr>
              <w:t>Not explicitly specified.</w:t>
            </w:r>
          </w:p>
        </w:tc>
      </w:tr>
      <w:tr w:rsidR="00655479" w:rsidRPr="00655479" w14:paraId="40FB8A17" w14:textId="77777777" w:rsidTr="00655479">
        <w:tc>
          <w:tcPr>
            <w:tcW w:w="0" w:type="auto"/>
            <w:hideMark/>
          </w:tcPr>
          <w:p w14:paraId="088F20D0" w14:textId="77777777" w:rsidR="00655479" w:rsidRPr="00655479" w:rsidRDefault="00655479" w:rsidP="00655479">
            <w:pPr>
              <w:spacing w:after="160" w:line="259" w:lineRule="auto"/>
              <w:rPr>
                <w:lang w:val="en-IE"/>
              </w:rPr>
            </w:pPr>
            <w:r w:rsidRPr="00655479">
              <w:rPr>
                <w:b/>
                <w:bCs/>
                <w:lang w:val="en-IE"/>
              </w:rPr>
              <w:lastRenderedPageBreak/>
              <w:t>3. Allocation of resources</w:t>
            </w:r>
          </w:p>
        </w:tc>
        <w:tc>
          <w:tcPr>
            <w:tcW w:w="0" w:type="auto"/>
            <w:hideMark/>
          </w:tcPr>
          <w:p w14:paraId="6A554E62" w14:textId="77777777" w:rsidR="00655479" w:rsidRDefault="00655479" w:rsidP="00655479">
            <w:pPr>
              <w:spacing w:after="160" w:line="259" w:lineRule="auto"/>
              <w:rPr>
                <w:b/>
                <w:bCs/>
                <w:lang w:val="en-IE"/>
              </w:rPr>
            </w:pPr>
            <w:r w:rsidRPr="00655479">
              <w:rPr>
                <w:b/>
                <w:bCs/>
                <w:lang w:val="en-IE"/>
              </w:rPr>
              <w:t>• Estimate costs for making data FAIR</w:t>
            </w:r>
          </w:p>
          <w:p w14:paraId="3962C5E8" w14:textId="77777777" w:rsidR="00655479" w:rsidRDefault="00655479" w:rsidP="00655479">
            <w:pPr>
              <w:spacing w:after="160" w:line="259" w:lineRule="auto"/>
              <w:rPr>
                <w:lang w:val="en-IE"/>
              </w:rPr>
            </w:pPr>
            <w:r w:rsidRPr="00655479">
              <w:rPr>
                <w:lang w:val="en-IE"/>
              </w:rPr>
              <w:t>Costs of maintaining the data repository are covered by the hosting institution and are not charged to the project.</w:t>
            </w:r>
          </w:p>
          <w:p w14:paraId="7FBEA1BA" w14:textId="77777777" w:rsidR="00655479" w:rsidRDefault="00655479" w:rsidP="00655479">
            <w:pPr>
              <w:spacing w:after="160" w:line="259" w:lineRule="auto"/>
              <w:rPr>
                <w:b/>
                <w:bCs/>
                <w:lang w:val="en-IE"/>
              </w:rPr>
            </w:pPr>
            <w:r w:rsidRPr="00655479">
              <w:rPr>
                <w:b/>
                <w:bCs/>
                <w:lang w:val="en-IE"/>
              </w:rPr>
              <w:t>• Identify responsibilities for data management</w:t>
            </w:r>
          </w:p>
          <w:p w14:paraId="75EA84F4" w14:textId="1D4F2156" w:rsidR="00655479" w:rsidRPr="00655479" w:rsidRDefault="00655479" w:rsidP="00655479">
            <w:pPr>
              <w:spacing w:after="160" w:line="259" w:lineRule="auto"/>
              <w:rPr>
                <w:lang w:val="en-IE"/>
              </w:rPr>
            </w:pPr>
            <w:r w:rsidRPr="00655479">
              <w:rPr>
                <w:lang w:val="en-IE"/>
              </w:rPr>
              <w:t>The repository owner (coordinator) is responsible for maintenance of the infrastructure.</w:t>
            </w:r>
          </w:p>
        </w:tc>
      </w:tr>
      <w:tr w:rsidR="00655479" w:rsidRPr="00655479" w14:paraId="0E0BEBE8" w14:textId="77777777" w:rsidTr="00655479">
        <w:tc>
          <w:tcPr>
            <w:tcW w:w="0" w:type="auto"/>
            <w:hideMark/>
          </w:tcPr>
          <w:p w14:paraId="0CED5B2B" w14:textId="77777777" w:rsidR="00655479" w:rsidRPr="00655479" w:rsidRDefault="00655479" w:rsidP="00655479">
            <w:pPr>
              <w:spacing w:after="160" w:line="259" w:lineRule="auto"/>
              <w:rPr>
                <w:lang w:val="en-IE"/>
              </w:rPr>
            </w:pPr>
            <w:r w:rsidRPr="00655479">
              <w:rPr>
                <w:b/>
                <w:bCs/>
                <w:lang w:val="en-IE"/>
              </w:rPr>
              <w:t>4. Data security</w:t>
            </w:r>
          </w:p>
        </w:tc>
        <w:tc>
          <w:tcPr>
            <w:tcW w:w="0" w:type="auto"/>
            <w:hideMark/>
          </w:tcPr>
          <w:p w14:paraId="313CB9F9" w14:textId="77777777" w:rsidR="00655479" w:rsidRDefault="00655479" w:rsidP="00655479">
            <w:pPr>
              <w:spacing w:after="160" w:line="259" w:lineRule="auto"/>
              <w:rPr>
                <w:b/>
                <w:bCs/>
                <w:lang w:val="en-IE"/>
              </w:rPr>
            </w:pPr>
            <w:r w:rsidRPr="00655479">
              <w:rPr>
                <w:b/>
                <w:bCs/>
                <w:lang w:val="en-IE"/>
              </w:rPr>
              <w:t>• Address data recovery and secure storage</w:t>
            </w:r>
          </w:p>
          <w:p w14:paraId="08CF26B0" w14:textId="4F4F5355" w:rsidR="00655479" w:rsidRPr="00655479" w:rsidRDefault="00655479" w:rsidP="00655479">
            <w:pPr>
              <w:spacing w:after="160" w:line="259" w:lineRule="auto"/>
              <w:rPr>
                <w:lang w:val="en-IE"/>
              </w:rPr>
            </w:pPr>
            <w:r w:rsidRPr="00655479">
              <w:rPr>
                <w:lang w:val="en-IE"/>
              </w:rPr>
              <w:t>Data is stored in a shared cloud repository. The agreement between the coordinator and Microsoft guarantees backups. The coordinator accesses data through a dedicated application and creates backups regularly.</w:t>
            </w:r>
          </w:p>
        </w:tc>
      </w:tr>
      <w:tr w:rsidR="00655479" w:rsidRPr="00655479" w14:paraId="749D4F21" w14:textId="77777777" w:rsidTr="00655479">
        <w:tc>
          <w:tcPr>
            <w:tcW w:w="0" w:type="auto"/>
            <w:hideMark/>
          </w:tcPr>
          <w:p w14:paraId="7A65DF12" w14:textId="77777777" w:rsidR="00655479" w:rsidRPr="00655479" w:rsidRDefault="00655479" w:rsidP="00655479">
            <w:pPr>
              <w:spacing w:after="160" w:line="259" w:lineRule="auto"/>
              <w:rPr>
                <w:lang w:val="en-IE"/>
              </w:rPr>
            </w:pPr>
            <w:r w:rsidRPr="00655479">
              <w:rPr>
                <w:b/>
                <w:bCs/>
                <w:lang w:val="en-IE"/>
              </w:rPr>
              <w:t>5. Ethical aspects</w:t>
            </w:r>
          </w:p>
        </w:tc>
        <w:tc>
          <w:tcPr>
            <w:tcW w:w="0" w:type="auto"/>
            <w:hideMark/>
          </w:tcPr>
          <w:p w14:paraId="711DABCF" w14:textId="77777777" w:rsidR="00655479" w:rsidRDefault="00655479" w:rsidP="00655479">
            <w:pPr>
              <w:spacing w:after="160" w:line="259" w:lineRule="auto"/>
              <w:rPr>
                <w:b/>
                <w:bCs/>
                <w:lang w:val="en-IE"/>
              </w:rPr>
            </w:pPr>
            <w:r w:rsidRPr="00655479">
              <w:rPr>
                <w:b/>
                <w:bCs/>
                <w:lang w:val="en-IE"/>
              </w:rPr>
              <w:t>• Address ethical and personal data issues</w:t>
            </w:r>
          </w:p>
          <w:p w14:paraId="312BB3CB" w14:textId="01B753FC" w:rsidR="00655479" w:rsidRPr="00655479" w:rsidRDefault="00655479" w:rsidP="00655479">
            <w:pPr>
              <w:spacing w:after="160" w:line="259" w:lineRule="auto"/>
              <w:rPr>
                <w:lang w:val="en-IE"/>
              </w:rPr>
            </w:pPr>
            <w:r w:rsidRPr="00655479">
              <w:rPr>
                <w:lang w:val="en-IE"/>
              </w:rPr>
              <w:t>No sensitive data is collected. Personal data is limited to contact details. No ethical issues are associated with data collection or maintenance. Any additional users must agree to share their contact information.</w:t>
            </w:r>
          </w:p>
        </w:tc>
      </w:tr>
      <w:tr w:rsidR="00655479" w:rsidRPr="00655479" w14:paraId="18D9916D" w14:textId="77777777" w:rsidTr="00655479">
        <w:tc>
          <w:tcPr>
            <w:tcW w:w="0" w:type="auto"/>
            <w:hideMark/>
          </w:tcPr>
          <w:p w14:paraId="51F1A3C4" w14:textId="77777777" w:rsidR="00655479" w:rsidRPr="00655479" w:rsidRDefault="00655479" w:rsidP="00655479">
            <w:pPr>
              <w:spacing w:after="160" w:line="259" w:lineRule="auto"/>
              <w:rPr>
                <w:lang w:val="en-IE"/>
              </w:rPr>
            </w:pPr>
            <w:r w:rsidRPr="00655479">
              <w:rPr>
                <w:b/>
                <w:bCs/>
                <w:lang w:val="en-IE"/>
              </w:rPr>
              <w:t>6. Other</w:t>
            </w:r>
          </w:p>
        </w:tc>
        <w:tc>
          <w:tcPr>
            <w:tcW w:w="0" w:type="auto"/>
            <w:hideMark/>
          </w:tcPr>
          <w:p w14:paraId="3E247CEE" w14:textId="77777777" w:rsidR="00655479" w:rsidRPr="00655479" w:rsidRDefault="00655479" w:rsidP="00655479">
            <w:pPr>
              <w:spacing w:after="160" w:line="259" w:lineRule="auto"/>
              <w:rPr>
                <w:lang w:val="en-IE"/>
              </w:rPr>
            </w:pPr>
            <w:r w:rsidRPr="00655479">
              <w:rPr>
                <w:lang w:val="en-IE"/>
              </w:rPr>
              <w:t>Not relevant.</w:t>
            </w:r>
          </w:p>
        </w:tc>
      </w:tr>
    </w:tbl>
    <w:p w14:paraId="2B77115D" w14:textId="77777777" w:rsidR="00FA0D89" w:rsidRDefault="00FA0D89"/>
    <w:sectPr w:rsidR="00FA0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79"/>
    <w:rsid w:val="000341F1"/>
    <w:rsid w:val="00240B90"/>
    <w:rsid w:val="002A3E18"/>
    <w:rsid w:val="002C633C"/>
    <w:rsid w:val="005E7DE7"/>
    <w:rsid w:val="00655479"/>
    <w:rsid w:val="007A0C1D"/>
    <w:rsid w:val="008465F4"/>
    <w:rsid w:val="00932178"/>
    <w:rsid w:val="00BA7234"/>
    <w:rsid w:val="00BC78EC"/>
    <w:rsid w:val="00CD2E1A"/>
    <w:rsid w:val="00FA0D89"/>
    <w:rsid w:val="00FC1B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A427"/>
  <w15:chartTrackingRefBased/>
  <w15:docId w15:val="{294015ED-1E36-41FA-BBE6-D0F8BAEA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554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4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4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54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4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47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5547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55479"/>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5547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5547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5547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5547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5547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5547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55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47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55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47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55479"/>
    <w:pPr>
      <w:spacing w:before="160"/>
      <w:jc w:val="center"/>
    </w:pPr>
    <w:rPr>
      <w:i/>
      <w:iCs/>
      <w:color w:val="404040" w:themeColor="text1" w:themeTint="BF"/>
    </w:rPr>
  </w:style>
  <w:style w:type="character" w:customStyle="1" w:styleId="QuoteChar">
    <w:name w:val="Quote Char"/>
    <w:basedOn w:val="DefaultParagraphFont"/>
    <w:link w:val="Quote"/>
    <w:uiPriority w:val="29"/>
    <w:rsid w:val="00655479"/>
    <w:rPr>
      <w:i/>
      <w:iCs/>
      <w:color w:val="404040" w:themeColor="text1" w:themeTint="BF"/>
      <w:lang w:val="en-GB"/>
    </w:rPr>
  </w:style>
  <w:style w:type="paragraph" w:styleId="ListParagraph">
    <w:name w:val="List Paragraph"/>
    <w:basedOn w:val="Normal"/>
    <w:uiPriority w:val="34"/>
    <w:qFormat/>
    <w:rsid w:val="00655479"/>
    <w:pPr>
      <w:ind w:left="720"/>
      <w:contextualSpacing/>
    </w:pPr>
  </w:style>
  <w:style w:type="character" w:styleId="IntenseEmphasis">
    <w:name w:val="Intense Emphasis"/>
    <w:basedOn w:val="DefaultParagraphFont"/>
    <w:uiPriority w:val="21"/>
    <w:qFormat/>
    <w:rsid w:val="00655479"/>
    <w:rPr>
      <w:i/>
      <w:iCs/>
      <w:color w:val="2F5496" w:themeColor="accent1" w:themeShade="BF"/>
    </w:rPr>
  </w:style>
  <w:style w:type="paragraph" w:styleId="IntenseQuote">
    <w:name w:val="Intense Quote"/>
    <w:basedOn w:val="Normal"/>
    <w:next w:val="Normal"/>
    <w:link w:val="IntenseQuoteChar"/>
    <w:uiPriority w:val="30"/>
    <w:qFormat/>
    <w:rsid w:val="00655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479"/>
    <w:rPr>
      <w:i/>
      <w:iCs/>
      <w:color w:val="2F5496" w:themeColor="accent1" w:themeShade="BF"/>
      <w:lang w:val="en-GB"/>
    </w:rPr>
  </w:style>
  <w:style w:type="character" w:styleId="IntenseReference">
    <w:name w:val="Intense Reference"/>
    <w:basedOn w:val="DefaultParagraphFont"/>
    <w:uiPriority w:val="32"/>
    <w:qFormat/>
    <w:rsid w:val="00655479"/>
    <w:rPr>
      <w:b/>
      <w:bCs/>
      <w:smallCaps/>
      <w:color w:val="2F5496" w:themeColor="accent1" w:themeShade="BF"/>
      <w:spacing w:val="5"/>
    </w:rPr>
  </w:style>
  <w:style w:type="table" w:styleId="PlainTable5">
    <w:name w:val="Plain Table 5"/>
    <w:basedOn w:val="TableNormal"/>
    <w:uiPriority w:val="45"/>
    <w:rsid w:val="006554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65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Padraic Morrissey</dc:creator>
  <cp:keywords/>
  <dc:description/>
  <cp:lastModifiedBy>Padraic Morrissey</cp:lastModifiedBy>
  <cp:revision>1</cp:revision>
  <dcterms:created xsi:type="dcterms:W3CDTF">2026-01-02T15:23:00Z</dcterms:created>
  <dcterms:modified xsi:type="dcterms:W3CDTF">2026-01-02T15:26:00Z</dcterms:modified>
</cp:coreProperties>
</file>