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9325" w14:textId="135D9CA7" w:rsidR="00336318" w:rsidRDefault="002B115A" w:rsidP="00390AE8">
      <w:pPr>
        <w:rPr>
          <w:b/>
          <w:bCs/>
          <w:lang w:val="en-US"/>
        </w:rPr>
      </w:pPr>
      <w:r>
        <w:rPr>
          <w:b/>
          <w:bCs/>
          <w:lang w:val="en-US"/>
        </w:rPr>
        <w:t>Polish Perspective</w:t>
      </w:r>
    </w:p>
    <w:p w14:paraId="5E9F13F9" w14:textId="63B4A2F1" w:rsidR="00390AE8" w:rsidRPr="00390AE8" w:rsidRDefault="00390AE8" w:rsidP="00390AE8">
      <w:pPr>
        <w:rPr>
          <w:b/>
          <w:bCs/>
          <w:lang w:val="en-US"/>
        </w:rPr>
      </w:pPr>
      <w:r w:rsidRPr="00390AE8">
        <w:rPr>
          <w:b/>
          <w:bCs/>
          <w:lang w:val="en-US"/>
        </w:rPr>
        <w:t>European Mid-IR Integrated Photonics Platform for Energy-Efficient Sensing</w:t>
      </w:r>
    </w:p>
    <w:p w14:paraId="17CE169E" w14:textId="77777777" w:rsidR="00390AE8" w:rsidRPr="00390AE8" w:rsidRDefault="00390AE8" w:rsidP="00390AE8">
      <w:pPr>
        <w:rPr>
          <w:b/>
          <w:bCs/>
          <w:lang w:val="en-US"/>
        </w:rPr>
      </w:pPr>
      <w:r w:rsidRPr="00390AE8">
        <w:rPr>
          <w:b/>
          <w:bCs/>
          <w:lang w:val="en-US"/>
        </w:rPr>
        <w:t>Strategic Rationale</w:t>
      </w:r>
    </w:p>
    <w:p w14:paraId="58467919" w14:textId="779B3A82" w:rsidR="00390AE8" w:rsidRPr="00390AE8" w:rsidRDefault="00390AE8" w:rsidP="00390AE8">
      <w:pPr>
        <w:jc w:val="both"/>
        <w:rPr>
          <w:lang w:val="en-US"/>
        </w:rPr>
      </w:pPr>
      <w:r w:rsidRPr="00390AE8">
        <w:rPr>
          <w:lang w:val="en-US"/>
        </w:rPr>
        <w:t xml:space="preserve">Mid-infrared (mid-IR) sensing enables direct molecular fingerprint detection and high selectivity with minimal signal amplification. Europe </w:t>
      </w:r>
      <w:r>
        <w:rPr>
          <w:lang w:val="en-US"/>
        </w:rPr>
        <w:t xml:space="preserve">still </w:t>
      </w:r>
      <w:r w:rsidRPr="00390AE8">
        <w:rPr>
          <w:lang w:val="en-US"/>
        </w:rPr>
        <w:t xml:space="preserve">lacks a scalable, industrial-grade mid-IR </w:t>
      </w:r>
      <w:r w:rsidR="00182456">
        <w:rPr>
          <w:lang w:val="en-US"/>
        </w:rPr>
        <w:t>photo</w:t>
      </w:r>
      <w:r w:rsidR="002B1A60">
        <w:rPr>
          <w:lang w:val="en-US"/>
        </w:rPr>
        <w:t>nic int</w:t>
      </w:r>
      <w:r w:rsidR="006942D3">
        <w:rPr>
          <w:lang w:val="en-US"/>
        </w:rPr>
        <w:t>egrat</w:t>
      </w:r>
      <w:r w:rsidR="00EF29CF">
        <w:rPr>
          <w:lang w:val="en-US"/>
        </w:rPr>
        <w:t>ed circuit</w:t>
      </w:r>
      <w:r w:rsidR="00182456" w:rsidRPr="00390AE8">
        <w:rPr>
          <w:lang w:val="en-US"/>
        </w:rPr>
        <w:t xml:space="preserve"> </w:t>
      </w:r>
      <w:r w:rsidR="00EF6D9C">
        <w:rPr>
          <w:lang w:val="en-US"/>
        </w:rPr>
        <w:t>(</w:t>
      </w:r>
      <w:r w:rsidR="004A3DE3">
        <w:rPr>
          <w:lang w:val="en-US"/>
        </w:rPr>
        <w:t xml:space="preserve">PIC) </w:t>
      </w:r>
      <w:r w:rsidRPr="00390AE8">
        <w:rPr>
          <w:lang w:val="en-US"/>
        </w:rPr>
        <w:t>platform capable of delivering energy-efficient, AI-ready sensing systems across critical sectors.</w:t>
      </w:r>
    </w:p>
    <w:p w14:paraId="22A09BC9" w14:textId="558DB1F7" w:rsidR="00390AE8" w:rsidRPr="00390AE8" w:rsidRDefault="00390AE8" w:rsidP="00390AE8">
      <w:pPr>
        <w:rPr>
          <w:lang w:val="en-US"/>
        </w:rPr>
      </w:pPr>
      <w:r w:rsidRPr="00390AE8">
        <w:rPr>
          <w:lang w:val="en-US"/>
        </w:rPr>
        <w:t>We</w:t>
      </w:r>
      <w:r w:rsidR="0044245B">
        <w:rPr>
          <w:lang w:val="en-US"/>
        </w:rPr>
        <w:t xml:space="preserve"> </w:t>
      </w:r>
      <w:r w:rsidRPr="00390AE8">
        <w:rPr>
          <w:lang w:val="en-US"/>
        </w:rPr>
        <w:t>propose a European mid-IR integrated photonics platform combining:</w:t>
      </w:r>
    </w:p>
    <w:p w14:paraId="0685307C" w14:textId="2A9180F7" w:rsidR="00390AE8" w:rsidRPr="00390AE8" w:rsidRDefault="00626B7F" w:rsidP="009F626A">
      <w:pPr>
        <w:numPr>
          <w:ilvl w:val="0"/>
          <w:numId w:val="3"/>
        </w:numPr>
        <w:spacing w:after="0"/>
        <w:ind w:left="714" w:hanging="357"/>
        <w:rPr>
          <w:lang w:val="en-US"/>
        </w:rPr>
      </w:pPr>
      <w:r>
        <w:rPr>
          <w:lang w:val="en-US"/>
        </w:rPr>
        <w:t>m</w:t>
      </w:r>
      <w:r w:rsidR="00390AE8" w:rsidRPr="00390AE8">
        <w:rPr>
          <w:lang w:val="en-US"/>
        </w:rPr>
        <w:t>ulti-band PICs (mid-IR + NIR)</w:t>
      </w:r>
    </w:p>
    <w:p w14:paraId="3EA1BCF2" w14:textId="2BA7C460" w:rsidR="00390AE8" w:rsidRPr="00390AE8" w:rsidRDefault="00390AE8" w:rsidP="009F626A">
      <w:pPr>
        <w:numPr>
          <w:ilvl w:val="0"/>
          <w:numId w:val="3"/>
        </w:numPr>
        <w:spacing w:after="0"/>
        <w:ind w:left="714" w:hanging="357"/>
        <w:rPr>
          <w:lang w:val="en-US"/>
        </w:rPr>
      </w:pPr>
      <w:r w:rsidRPr="00390AE8">
        <w:rPr>
          <w:lang w:val="en-US"/>
        </w:rPr>
        <w:t>Si/Ge/III-V</w:t>
      </w:r>
      <w:r w:rsidR="00BA3F57">
        <w:rPr>
          <w:lang w:val="en-US"/>
        </w:rPr>
        <w:t>/</w:t>
      </w:r>
      <w:r w:rsidR="000B1336">
        <w:rPr>
          <w:lang w:val="en-US"/>
        </w:rPr>
        <w:t>TFLN</w:t>
      </w:r>
      <w:r w:rsidRPr="00390AE8">
        <w:rPr>
          <w:lang w:val="en-US"/>
        </w:rPr>
        <w:t xml:space="preserve"> heterogeneous integration</w:t>
      </w:r>
    </w:p>
    <w:p w14:paraId="5DDA56B8" w14:textId="77777777" w:rsidR="00390AE8" w:rsidRPr="00390AE8" w:rsidRDefault="00390AE8" w:rsidP="009F626A">
      <w:pPr>
        <w:numPr>
          <w:ilvl w:val="0"/>
          <w:numId w:val="3"/>
        </w:numPr>
        <w:spacing w:after="0"/>
        <w:ind w:left="714" w:hanging="357"/>
      </w:pPr>
      <w:r w:rsidRPr="00390AE8">
        <w:t>Photonics–CMOS co-</w:t>
      </w:r>
      <w:proofErr w:type="spellStart"/>
      <w:r w:rsidRPr="00390AE8">
        <w:t>integration</w:t>
      </w:r>
      <w:proofErr w:type="spellEnd"/>
    </w:p>
    <w:p w14:paraId="1C3DC3A3" w14:textId="77777777" w:rsidR="00390AE8" w:rsidRPr="00390AE8" w:rsidRDefault="00390AE8" w:rsidP="009F626A">
      <w:pPr>
        <w:numPr>
          <w:ilvl w:val="0"/>
          <w:numId w:val="3"/>
        </w:numPr>
        <w:spacing w:after="0"/>
        <w:ind w:left="714" w:hanging="357"/>
      </w:pPr>
      <w:r w:rsidRPr="00390AE8">
        <w:t>Advanced system-in-</w:t>
      </w:r>
      <w:proofErr w:type="spellStart"/>
      <w:r w:rsidRPr="00390AE8">
        <w:t>package</w:t>
      </w:r>
      <w:proofErr w:type="spellEnd"/>
      <w:r w:rsidRPr="00390AE8">
        <w:t xml:space="preserve"> </w:t>
      </w:r>
      <w:proofErr w:type="spellStart"/>
      <w:r w:rsidRPr="00390AE8">
        <w:t>architectures</w:t>
      </w:r>
      <w:proofErr w:type="spellEnd"/>
    </w:p>
    <w:p w14:paraId="0887022F" w14:textId="77777777" w:rsidR="00390AE8" w:rsidRDefault="00390AE8" w:rsidP="009F626A">
      <w:pPr>
        <w:numPr>
          <w:ilvl w:val="0"/>
          <w:numId w:val="3"/>
        </w:numPr>
        <w:spacing w:after="0"/>
        <w:ind w:left="714" w:hanging="357"/>
      </w:pPr>
      <w:proofErr w:type="spellStart"/>
      <w:r w:rsidRPr="00390AE8">
        <w:t>Standardized</w:t>
      </w:r>
      <w:proofErr w:type="spellEnd"/>
      <w:r w:rsidRPr="00390AE8">
        <w:t xml:space="preserve">, </w:t>
      </w:r>
      <w:proofErr w:type="spellStart"/>
      <w:r w:rsidRPr="00390AE8">
        <w:t>calibrated</w:t>
      </w:r>
      <w:proofErr w:type="spellEnd"/>
      <w:r w:rsidRPr="00390AE8">
        <w:t xml:space="preserve"> data-</w:t>
      </w:r>
      <w:proofErr w:type="spellStart"/>
      <w:r w:rsidRPr="00390AE8">
        <w:t>generation</w:t>
      </w:r>
      <w:proofErr w:type="spellEnd"/>
      <w:r w:rsidRPr="00390AE8">
        <w:t xml:space="preserve"> </w:t>
      </w:r>
      <w:proofErr w:type="spellStart"/>
      <w:r w:rsidRPr="00390AE8">
        <w:t>frameworks</w:t>
      </w:r>
      <w:proofErr w:type="spellEnd"/>
    </w:p>
    <w:p w14:paraId="6F738BB8" w14:textId="77777777" w:rsidR="009F626A" w:rsidRPr="00390AE8" w:rsidRDefault="009F626A" w:rsidP="009F626A">
      <w:pPr>
        <w:spacing w:after="0"/>
        <w:ind w:left="714"/>
      </w:pPr>
    </w:p>
    <w:p w14:paraId="3E6B80DE" w14:textId="3BC8068E" w:rsidR="00390AE8" w:rsidRPr="00390AE8" w:rsidRDefault="00390AE8" w:rsidP="005F6DFA">
      <w:pPr>
        <w:jc w:val="both"/>
        <w:rPr>
          <w:lang w:val="en-US"/>
        </w:rPr>
      </w:pPr>
      <w:r w:rsidRPr="00390AE8">
        <w:rPr>
          <w:lang w:val="en-US"/>
        </w:rPr>
        <w:t>This initiative aligns with Chips Act 2 priorities: strategic autonomy, advanced packaging sovereignty, trusted hardware, and AI-enabling semiconductor systems</w:t>
      </w:r>
      <w:r w:rsidR="005F6DFA">
        <w:rPr>
          <w:lang w:val="en-US"/>
        </w:rPr>
        <w:t>, and also contributes to the EU objective of a ×1,000 improvement in energy efficiency</w:t>
      </w:r>
      <w:r w:rsidRPr="00390AE8">
        <w:rPr>
          <w:lang w:val="en-US"/>
        </w:rPr>
        <w:t>.</w:t>
      </w:r>
    </w:p>
    <w:p w14:paraId="3D3B9C8A" w14:textId="03B04C82" w:rsidR="00390AE8" w:rsidRPr="00DD52A1" w:rsidRDefault="00390AE8" w:rsidP="00390AE8">
      <w:pPr>
        <w:rPr>
          <w:lang w:val="en-US"/>
        </w:rPr>
      </w:pPr>
    </w:p>
    <w:p w14:paraId="32F13672" w14:textId="77777777" w:rsidR="00390AE8" w:rsidRPr="00390AE8" w:rsidRDefault="00390AE8" w:rsidP="00390AE8">
      <w:pPr>
        <w:rPr>
          <w:b/>
          <w:bCs/>
          <w:lang w:val="en-US"/>
        </w:rPr>
      </w:pPr>
      <w:r w:rsidRPr="00390AE8">
        <w:rPr>
          <w:b/>
          <w:bCs/>
          <w:lang w:val="en-US"/>
        </w:rPr>
        <w:t>Contribution to the 15 Key Energy-Efficiency Technologies</w:t>
      </w:r>
    </w:p>
    <w:p w14:paraId="6AC284DC" w14:textId="46F693FC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3D Heterogeneous Integration &amp; Co-Packaged Optics</w:t>
      </w:r>
      <w:r w:rsidRPr="00390AE8">
        <w:rPr>
          <w:lang w:val="en-US"/>
        </w:rPr>
        <w:br/>
        <w:t>Mid-IR PICs co-integrated with CMOS readout and advanced packaging reduce electrical interconnect losses, minimize parasitic</w:t>
      </w:r>
      <w:r w:rsidR="00C7175A">
        <w:rPr>
          <w:lang w:val="en-US"/>
        </w:rPr>
        <w:t xml:space="preserve"> effects</w:t>
      </w:r>
      <w:r w:rsidRPr="00390AE8">
        <w:rPr>
          <w:lang w:val="en-US"/>
        </w:rPr>
        <w:t>, and improve system-level power efficiency.</w:t>
      </w:r>
    </w:p>
    <w:p w14:paraId="436FD6C5" w14:textId="77777777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More-than-Moore Functional Diversification</w:t>
      </w:r>
      <w:r w:rsidRPr="00390AE8">
        <w:rPr>
          <w:lang w:val="en-US"/>
        </w:rPr>
        <w:br/>
        <w:t>Mid-IR sensing extends semiconductor functionality beyond logic scaling into physics-based molecular detection, increasing performance-per-watt at the system level.</w:t>
      </w:r>
    </w:p>
    <w:p w14:paraId="7184AF28" w14:textId="398EC697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Smart Sensors / Edge AI</w:t>
      </w:r>
      <w:r w:rsidR="00127E90">
        <w:rPr>
          <w:b/>
          <w:bCs/>
          <w:lang w:val="en-US"/>
        </w:rPr>
        <w:t xml:space="preserve"> </w:t>
      </w:r>
      <w:r w:rsidR="009027D3">
        <w:rPr>
          <w:b/>
          <w:bCs/>
          <w:lang w:val="en-US"/>
        </w:rPr>
        <w:t>Computing</w:t>
      </w:r>
      <w:r w:rsidRPr="00390AE8">
        <w:rPr>
          <w:lang w:val="en-US"/>
        </w:rPr>
        <w:br/>
        <w:t>Physics-grounded spectral sensing combined with edge-compatible architectures reduces data volume and transmission energy in distributed monitoring networks.</w:t>
      </w:r>
    </w:p>
    <w:p w14:paraId="0A408E71" w14:textId="57FC8789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AI-Based Co-Optimization &amp; Design</w:t>
      </w:r>
      <w:r w:rsidRPr="00390AE8">
        <w:rPr>
          <w:lang w:val="en-US"/>
        </w:rPr>
        <w:br/>
        <w:t xml:space="preserve">Packaging-aware photonic–electronic co-design enhances </w:t>
      </w:r>
      <w:r w:rsidR="00263E79">
        <w:rPr>
          <w:lang w:val="en-US"/>
        </w:rPr>
        <w:t>efficiency per function</w:t>
      </w:r>
      <w:r w:rsidRPr="00390AE8">
        <w:rPr>
          <w:lang w:val="en-US"/>
        </w:rPr>
        <w:t xml:space="preserve"> and accelerates industrial deployment.</w:t>
      </w:r>
    </w:p>
    <w:p w14:paraId="1CE0A112" w14:textId="77777777" w:rsidR="00263E79" w:rsidRDefault="00263E79" w:rsidP="00390AE8">
      <w:pPr>
        <w:rPr>
          <w:b/>
          <w:bCs/>
          <w:lang w:val="en-US"/>
        </w:rPr>
      </w:pPr>
    </w:p>
    <w:p w14:paraId="398B9BE3" w14:textId="77777777" w:rsidR="00C44C0A" w:rsidRDefault="00C44C0A" w:rsidP="00390AE8">
      <w:pPr>
        <w:rPr>
          <w:b/>
          <w:bCs/>
          <w:lang w:val="en-US"/>
        </w:rPr>
      </w:pPr>
    </w:p>
    <w:p w14:paraId="014B722B" w14:textId="616E6990" w:rsidR="00390AE8" w:rsidRPr="00390AE8" w:rsidRDefault="00390AE8" w:rsidP="00390AE8">
      <w:pPr>
        <w:rPr>
          <w:b/>
          <w:bCs/>
          <w:lang w:val="en-US"/>
        </w:rPr>
      </w:pPr>
      <w:r w:rsidRPr="00390AE8">
        <w:rPr>
          <w:b/>
          <w:bCs/>
          <w:lang w:val="en-US"/>
        </w:rPr>
        <w:lastRenderedPageBreak/>
        <w:t>Priority Application Domains</w:t>
      </w:r>
    </w:p>
    <w:p w14:paraId="4667953E" w14:textId="31A4DFE5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Environmental Monitoring</w:t>
      </w:r>
      <w:r w:rsidRPr="00390AE8">
        <w:rPr>
          <w:lang w:val="en-US"/>
        </w:rPr>
        <w:br/>
        <w:t>Greenhouse gases, industrial emissions, chemical pollutants</w:t>
      </w:r>
      <w:r w:rsidR="00263E79">
        <w:rPr>
          <w:lang w:val="en-US"/>
        </w:rPr>
        <w:t xml:space="preserve"> -</w:t>
      </w:r>
      <w:r w:rsidRPr="00390AE8">
        <w:rPr>
          <w:lang w:val="en-US"/>
        </w:rPr>
        <w:t xml:space="preserve"> </w:t>
      </w:r>
      <w:r w:rsidR="00263E79">
        <w:rPr>
          <w:lang w:val="en-US"/>
        </w:rPr>
        <w:t>m</w:t>
      </w:r>
      <w:r w:rsidRPr="00390AE8">
        <w:rPr>
          <w:lang w:val="en-US"/>
        </w:rPr>
        <w:t>id-IR spectroscopy enables high sensitivity with low energy overhead, forming a sovereign European environmental sensing backbone.</w:t>
      </w:r>
    </w:p>
    <w:p w14:paraId="0ED53927" w14:textId="77777777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Digital Health Monitoring</w:t>
      </w:r>
      <w:r w:rsidRPr="00390AE8">
        <w:rPr>
          <w:lang w:val="en-US"/>
        </w:rPr>
        <w:br/>
        <w:t>Non-invasive biomarker detection via on-chip spectroscopy. Supports secure EU-based health data generation with low-power continuous monitoring.</w:t>
      </w:r>
    </w:p>
    <w:p w14:paraId="24FE5301" w14:textId="2BA41125" w:rsidR="00390AE8" w:rsidRPr="00390AE8" w:rsidRDefault="00390AE8" w:rsidP="00390AE8">
      <w:pPr>
        <w:rPr>
          <w:lang w:val="en-US"/>
        </w:rPr>
      </w:pPr>
      <w:r w:rsidRPr="00390AE8">
        <w:rPr>
          <w:b/>
          <w:bCs/>
          <w:lang w:val="en-US"/>
        </w:rPr>
        <w:t>Automotive &amp; Mobility</w:t>
      </w:r>
      <w:r w:rsidRPr="00390AE8">
        <w:rPr>
          <w:lang w:val="en-US"/>
        </w:rPr>
        <w:br/>
        <w:t xml:space="preserve">Battery safety, cabin air monitoring, </w:t>
      </w:r>
      <w:r w:rsidR="00341E2D">
        <w:rPr>
          <w:lang w:val="en-US"/>
        </w:rPr>
        <w:t xml:space="preserve">outdoor monitoring (incl. lidars), </w:t>
      </w:r>
      <w:r w:rsidRPr="00390AE8">
        <w:rPr>
          <w:lang w:val="en-US"/>
        </w:rPr>
        <w:t>and chemical detection in EV platforms. Automotive-grade qualification ensures resilient European mobility supply chains.</w:t>
      </w:r>
    </w:p>
    <w:p w14:paraId="4BC30BEE" w14:textId="060204A2" w:rsidR="00390AE8" w:rsidRPr="00390AE8" w:rsidRDefault="00390AE8" w:rsidP="00390AE8">
      <w:pPr>
        <w:rPr>
          <w:lang w:val="en-US"/>
        </w:rPr>
      </w:pPr>
      <w:proofErr w:type="spellStart"/>
      <w:r w:rsidRPr="00390AE8">
        <w:rPr>
          <w:b/>
          <w:bCs/>
          <w:lang w:val="en-US"/>
        </w:rPr>
        <w:t>Defence</w:t>
      </w:r>
      <w:proofErr w:type="spellEnd"/>
      <w:r w:rsidRPr="00390AE8">
        <w:rPr>
          <w:b/>
          <w:bCs/>
          <w:lang w:val="en-US"/>
        </w:rPr>
        <w:t xml:space="preserve"> &amp; Strategic Security (Dedicated Track)</w:t>
      </w:r>
      <w:r w:rsidRPr="00390AE8">
        <w:rPr>
          <w:lang w:val="en-US"/>
        </w:rPr>
        <w:br/>
        <w:t>Chemical threat detection and infrastructure monitoring using trusted, EU-controlled mid-IR hardware and radiation-tolerant integration pathways.</w:t>
      </w:r>
      <w:r w:rsidR="002F44F8">
        <w:rPr>
          <w:lang w:val="en-US"/>
        </w:rPr>
        <w:t xml:space="preserve"> </w:t>
      </w:r>
    </w:p>
    <w:p w14:paraId="14AD76A4" w14:textId="16785F0B" w:rsidR="00390AE8" w:rsidRPr="00DD52A1" w:rsidRDefault="00390AE8" w:rsidP="00390AE8">
      <w:pPr>
        <w:rPr>
          <w:lang w:val="en-US"/>
        </w:rPr>
      </w:pPr>
    </w:p>
    <w:p w14:paraId="626461A6" w14:textId="6F8A84BF" w:rsidR="00390AE8" w:rsidRPr="00DD52A1" w:rsidRDefault="00390AE8" w:rsidP="00390AE8">
      <w:pPr>
        <w:rPr>
          <w:lang w:val="en-US"/>
        </w:rPr>
      </w:pPr>
    </w:p>
    <w:p w14:paraId="4002FC3D" w14:textId="77777777" w:rsidR="00390AE8" w:rsidRPr="00390AE8" w:rsidRDefault="00390AE8" w:rsidP="00390AE8">
      <w:pPr>
        <w:rPr>
          <w:b/>
          <w:bCs/>
          <w:lang w:val="en-US"/>
        </w:rPr>
      </w:pPr>
      <w:r w:rsidRPr="00390AE8">
        <w:rPr>
          <w:b/>
          <w:bCs/>
          <w:lang w:val="en-US"/>
        </w:rPr>
        <w:t>Strategic Outcome</w:t>
      </w:r>
    </w:p>
    <w:p w14:paraId="4D938F52" w14:textId="30137B2A" w:rsidR="00390AE8" w:rsidRPr="00390AE8" w:rsidRDefault="00390AE8" w:rsidP="00AF2C7A">
      <w:pPr>
        <w:jc w:val="both"/>
        <w:rPr>
          <w:lang w:val="en-US"/>
        </w:rPr>
      </w:pPr>
      <w:r w:rsidRPr="00390AE8">
        <w:rPr>
          <w:lang w:val="en-US"/>
        </w:rPr>
        <w:t xml:space="preserve">Position Europe as </w:t>
      </w:r>
      <w:r w:rsidR="00C44C0A">
        <w:rPr>
          <w:lang w:val="en-US"/>
        </w:rPr>
        <w:t xml:space="preserve">the </w:t>
      </w:r>
      <w:r w:rsidRPr="00390AE8">
        <w:rPr>
          <w:lang w:val="en-US"/>
        </w:rPr>
        <w:t xml:space="preserve">architect of an energy-efficient, mid-IR-based sovereign sensing and data infrastructure underpinning environmental resilience, digital health systems, advanced mobility, </w:t>
      </w:r>
      <w:proofErr w:type="spellStart"/>
      <w:r w:rsidRPr="00390AE8">
        <w:rPr>
          <w:lang w:val="en-US"/>
        </w:rPr>
        <w:t>defence</w:t>
      </w:r>
      <w:proofErr w:type="spellEnd"/>
      <w:r w:rsidRPr="00390AE8">
        <w:rPr>
          <w:lang w:val="en-US"/>
        </w:rPr>
        <w:t xml:space="preserve"> readiness, and AI-driven industrial competitiveness.</w:t>
      </w:r>
    </w:p>
    <w:p w14:paraId="06FCD70C" w14:textId="77777777" w:rsidR="00390AE8" w:rsidRPr="00390AE8" w:rsidRDefault="00390AE8">
      <w:pPr>
        <w:rPr>
          <w:lang w:val="en-US"/>
        </w:rPr>
      </w:pPr>
    </w:p>
    <w:sectPr w:rsidR="00390AE8" w:rsidRPr="0039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DAF"/>
    <w:multiLevelType w:val="multilevel"/>
    <w:tmpl w:val="2B780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E3A6A"/>
    <w:multiLevelType w:val="multilevel"/>
    <w:tmpl w:val="74A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41555"/>
    <w:multiLevelType w:val="multilevel"/>
    <w:tmpl w:val="48E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061355">
    <w:abstractNumId w:val="2"/>
  </w:num>
  <w:num w:numId="2" w16cid:durableId="1624144432">
    <w:abstractNumId w:val="1"/>
  </w:num>
  <w:num w:numId="3" w16cid:durableId="69338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E8"/>
    <w:rsid w:val="00037780"/>
    <w:rsid w:val="00084324"/>
    <w:rsid w:val="000963D9"/>
    <w:rsid w:val="000B1336"/>
    <w:rsid w:val="00127E90"/>
    <w:rsid w:val="00140B72"/>
    <w:rsid w:val="0016706D"/>
    <w:rsid w:val="00182456"/>
    <w:rsid w:val="001C3E48"/>
    <w:rsid w:val="001C7B6E"/>
    <w:rsid w:val="00263E79"/>
    <w:rsid w:val="002B115A"/>
    <w:rsid w:val="002B1A60"/>
    <w:rsid w:val="002F44F8"/>
    <w:rsid w:val="00336318"/>
    <w:rsid w:val="00341E2D"/>
    <w:rsid w:val="00390AE8"/>
    <w:rsid w:val="0044245B"/>
    <w:rsid w:val="0046372F"/>
    <w:rsid w:val="004A3DE3"/>
    <w:rsid w:val="004C0F2D"/>
    <w:rsid w:val="00570889"/>
    <w:rsid w:val="005F6DFA"/>
    <w:rsid w:val="00626B7F"/>
    <w:rsid w:val="006942D3"/>
    <w:rsid w:val="00737093"/>
    <w:rsid w:val="007C03EE"/>
    <w:rsid w:val="009027D3"/>
    <w:rsid w:val="00930814"/>
    <w:rsid w:val="009A68C5"/>
    <w:rsid w:val="009C2249"/>
    <w:rsid w:val="009F626A"/>
    <w:rsid w:val="00A307F5"/>
    <w:rsid w:val="00AF2C7A"/>
    <w:rsid w:val="00BA3F57"/>
    <w:rsid w:val="00C44C0A"/>
    <w:rsid w:val="00C7175A"/>
    <w:rsid w:val="00D0605F"/>
    <w:rsid w:val="00D85B57"/>
    <w:rsid w:val="00DD2F90"/>
    <w:rsid w:val="00DD52A1"/>
    <w:rsid w:val="00E416D0"/>
    <w:rsid w:val="00EF29CF"/>
    <w:rsid w:val="00E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7F96"/>
  <w15:chartTrackingRefBased/>
  <w15:docId w15:val="{29485A7F-A230-417E-B348-BCD98DD9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A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A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A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A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AE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96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3D29B38A91548A1F186680B2EB97D" ma:contentTypeVersion="11" ma:contentTypeDescription="Utwórz nowy dokument." ma:contentTypeScope="" ma:versionID="b2bab9d32c98bac76cb3b6ce1cd0df1c">
  <xsd:schema xmlns:xsd="http://www.w3.org/2001/XMLSchema" xmlns:xs="http://www.w3.org/2001/XMLSchema" xmlns:p="http://schemas.microsoft.com/office/2006/metadata/properties" xmlns:ns3="953c65ed-c58b-4fb9-888a-a99637bb7067" xmlns:ns4="7111d324-a4bb-4deb-a9d8-bd59f8f7281c" targetNamespace="http://schemas.microsoft.com/office/2006/metadata/properties" ma:root="true" ma:fieldsID="eb8fa68e33f715dc481bb42e78294038" ns3:_="" ns4:_="">
    <xsd:import namespace="953c65ed-c58b-4fb9-888a-a99637bb7067"/>
    <xsd:import namespace="7111d324-a4bb-4deb-a9d8-bd59f8f72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65ed-c58b-4fb9-888a-a99637bb70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d324-a4bb-4deb-a9d8-bd59f8f72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11d324-a4bb-4deb-a9d8-bd59f8f7281c" xsi:nil="true"/>
  </documentManagement>
</p:properties>
</file>

<file path=customXml/itemProps1.xml><?xml version="1.0" encoding="utf-8"?>
<ds:datastoreItem xmlns:ds="http://schemas.openxmlformats.org/officeDocument/2006/customXml" ds:itemID="{3E20601C-A13A-434A-9650-3768919D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65ed-c58b-4fb9-888a-a99637bb7067"/>
    <ds:schemaRef ds:uri="7111d324-a4bb-4deb-a9d8-bd59f8f7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4463E-BFAB-489C-8B12-3E36AFB4F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86A53-BC03-4790-A88C-F3A81A05DDBB}">
  <ds:schemaRefs>
    <ds:schemaRef ds:uri="http://schemas.microsoft.com/office/2006/metadata/properties"/>
    <ds:schemaRef ds:uri="http://schemas.microsoft.com/office/infopath/2007/PartnerControls"/>
    <ds:schemaRef ds:uri="7111d324-a4bb-4deb-a9d8-bd59f8f72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Piramidowicz Ryszard</dc:creator>
  <cp:keywords/>
  <dc:description/>
  <cp:lastModifiedBy>Piramidowicz Ryszard</cp:lastModifiedBy>
  <cp:revision>2</cp:revision>
  <dcterms:created xsi:type="dcterms:W3CDTF">2026-03-04T23:19:00Z</dcterms:created>
  <dcterms:modified xsi:type="dcterms:W3CDTF">2026-03-04T23:19:00Z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0f44d014-dc93-412f-90af-8bc4d421f21a</vt:lpwstr>
  </property>
  <property fmtid="{D5CDD505-2E9C-101B-9397-08002B2CF9AE}" pid="3" name="ContentTypeId">
    <vt:lpwstr>0x0101007263D29B38A91548A1F186680B2EB97D</vt:lpwstr>
  </property>
</Properties>
</file>